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0781" w14:textId="638273FB" w:rsidR="00E515EE" w:rsidRPr="00ED1980" w:rsidRDefault="003D424C">
      <w:pPr>
        <w:rPr>
          <w:b/>
          <w:bCs/>
          <w:sz w:val="48"/>
          <w:szCs w:val="48"/>
        </w:rPr>
      </w:pPr>
      <w:r w:rsidRPr="00ED1980">
        <w:rPr>
          <w:b/>
          <w:bCs/>
          <w:sz w:val="48"/>
          <w:szCs w:val="48"/>
        </w:rPr>
        <w:t>Procedureaftale vedrørende lokal løndannelsen for pædagoger og ledere i selvejende daginstitutioner beliggende i Københavns Kommune</w:t>
      </w:r>
    </w:p>
    <w:p w14:paraId="3BE6A9BC" w14:textId="77777777" w:rsidR="003D424C" w:rsidRDefault="003D424C"/>
    <w:p w14:paraId="77FF636E" w14:textId="11DE686C" w:rsidR="003D424C" w:rsidRDefault="003D424C">
      <w:pPr>
        <w:rPr>
          <w:sz w:val="28"/>
          <w:szCs w:val="28"/>
        </w:rPr>
      </w:pPr>
      <w:r w:rsidRPr="00ED1980">
        <w:rPr>
          <w:sz w:val="28"/>
          <w:szCs w:val="28"/>
        </w:rPr>
        <w:t xml:space="preserve">Indgået mellem </w:t>
      </w:r>
    </w:p>
    <w:p w14:paraId="2497CF8C" w14:textId="77777777" w:rsidR="00ED1980" w:rsidRPr="00ED1980" w:rsidRDefault="00ED1980">
      <w:pPr>
        <w:rPr>
          <w:sz w:val="28"/>
          <w:szCs w:val="28"/>
        </w:rPr>
      </w:pPr>
    </w:p>
    <w:p w14:paraId="1E7512F6" w14:textId="6F01F377" w:rsidR="00ED1980" w:rsidRPr="00ED1980" w:rsidRDefault="00ED1980" w:rsidP="00ED1980">
      <w:pPr>
        <w:rPr>
          <w:sz w:val="28"/>
          <w:szCs w:val="28"/>
        </w:rPr>
      </w:pPr>
      <w:r w:rsidRPr="00ED1980">
        <w:rPr>
          <w:sz w:val="28"/>
          <w:szCs w:val="28"/>
        </w:rPr>
        <w:t>Forhandlingsfællesskabet for selvejende daginstitutioner i København</w:t>
      </w:r>
    </w:p>
    <w:p w14:paraId="0C653B24" w14:textId="77777777" w:rsidR="00ED1980" w:rsidRPr="00ED1980" w:rsidRDefault="00ED1980" w:rsidP="00ED1980">
      <w:pPr>
        <w:rPr>
          <w:sz w:val="28"/>
          <w:szCs w:val="28"/>
        </w:rPr>
      </w:pPr>
      <w:r w:rsidRPr="00ED1980">
        <w:rPr>
          <w:sz w:val="28"/>
          <w:szCs w:val="28"/>
        </w:rPr>
        <w:t>og</w:t>
      </w:r>
    </w:p>
    <w:p w14:paraId="49C00944" w14:textId="229A8A67" w:rsidR="00ED1980" w:rsidRPr="00ED1980" w:rsidRDefault="00ED1980" w:rsidP="00ED1980">
      <w:pPr>
        <w:rPr>
          <w:sz w:val="28"/>
          <w:szCs w:val="28"/>
        </w:rPr>
      </w:pPr>
      <w:r w:rsidRPr="00ED1980">
        <w:rPr>
          <w:sz w:val="28"/>
          <w:szCs w:val="28"/>
        </w:rPr>
        <w:t>BUPL Hovedstaden</w:t>
      </w:r>
    </w:p>
    <w:p w14:paraId="5EA28936" w14:textId="77777777" w:rsidR="00ED1980" w:rsidRDefault="00ED1980"/>
    <w:p w14:paraId="152C50DC" w14:textId="77777777" w:rsidR="003D424C" w:rsidRDefault="003D424C"/>
    <w:p w14:paraId="1E2784FC" w14:textId="77777777" w:rsidR="004717C3" w:rsidRDefault="004717C3"/>
    <w:p w14:paraId="53A96742" w14:textId="77777777" w:rsidR="004717C3" w:rsidRDefault="004717C3"/>
    <w:p w14:paraId="6F300D13" w14:textId="77777777" w:rsidR="004717C3" w:rsidRDefault="004717C3"/>
    <w:p w14:paraId="41453F9C" w14:textId="77777777" w:rsidR="004717C3" w:rsidRDefault="004717C3"/>
    <w:p w14:paraId="38A4524E" w14:textId="77777777" w:rsidR="004717C3" w:rsidRDefault="004717C3"/>
    <w:p w14:paraId="0D6746C6" w14:textId="77777777" w:rsidR="004717C3" w:rsidRDefault="004717C3"/>
    <w:p w14:paraId="459D9B14" w14:textId="77777777" w:rsidR="004717C3" w:rsidRDefault="004717C3"/>
    <w:p w14:paraId="72E3093A" w14:textId="77777777" w:rsidR="004717C3" w:rsidRDefault="004717C3"/>
    <w:p w14:paraId="33BE0640" w14:textId="77777777" w:rsidR="004717C3" w:rsidRDefault="004717C3"/>
    <w:p w14:paraId="279055B7" w14:textId="77777777" w:rsidR="004717C3" w:rsidRDefault="004717C3"/>
    <w:p w14:paraId="7BDC35D9" w14:textId="77777777" w:rsidR="004717C3" w:rsidRDefault="004717C3"/>
    <w:p w14:paraId="190BC83A" w14:textId="77777777" w:rsidR="004717C3" w:rsidRDefault="004717C3"/>
    <w:p w14:paraId="33314DD6" w14:textId="77777777" w:rsidR="004717C3" w:rsidRDefault="004717C3"/>
    <w:p w14:paraId="2C69E1E5" w14:textId="77777777" w:rsidR="004717C3" w:rsidRDefault="004717C3"/>
    <w:p w14:paraId="60BAFBA7" w14:textId="77777777" w:rsidR="004717C3" w:rsidRDefault="004717C3"/>
    <w:p w14:paraId="5ACAB9B0" w14:textId="77777777" w:rsidR="004717C3" w:rsidRDefault="004717C3"/>
    <w:p w14:paraId="77D6BEDF" w14:textId="77777777" w:rsidR="004717C3" w:rsidRDefault="004717C3"/>
    <w:p w14:paraId="63283A28" w14:textId="13AF9831" w:rsidR="00FC29B4" w:rsidRDefault="00FC29B4">
      <w:r>
        <w:t>Indledning</w:t>
      </w:r>
    </w:p>
    <w:p w14:paraId="69DE7A8F" w14:textId="41E915B5" w:rsidR="00FC29B4" w:rsidRDefault="00FC29B4">
      <w:r>
        <w:t>Ved ledere, pædagoger og ikke-pædagoguddannede klubmedarbejdere i selvejende institutioner, forstås medarbejdere omfattet af følgende overenskomster:</w:t>
      </w:r>
    </w:p>
    <w:p w14:paraId="3DEB2C59" w14:textId="60D55EB7" w:rsidR="00FC29B4" w:rsidRDefault="00FC29B4" w:rsidP="00FC29B4">
      <w:pPr>
        <w:pStyle w:val="Listeafsnit"/>
        <w:numPr>
          <w:ilvl w:val="0"/>
          <w:numId w:val="1"/>
        </w:numPr>
      </w:pPr>
      <w:r>
        <w:t>Overenskomst for pædagoger ved daginstitutioner, skolefritidsordninger, klubber mv. (60.01)</w:t>
      </w:r>
    </w:p>
    <w:p w14:paraId="23A9705A" w14:textId="201CA92C" w:rsidR="00FC29B4" w:rsidRDefault="00FC29B4" w:rsidP="00FC29B4">
      <w:pPr>
        <w:pStyle w:val="Listeafsnit"/>
        <w:numPr>
          <w:ilvl w:val="0"/>
          <w:numId w:val="1"/>
        </w:numPr>
      </w:pPr>
      <w:r>
        <w:t>Overenskomst for pædagogisk uddannet personale ansat i lederstillinger i Kommunerne (69.01)</w:t>
      </w:r>
    </w:p>
    <w:p w14:paraId="6735A9FC" w14:textId="773068C1" w:rsidR="00FC29B4" w:rsidRDefault="00FC29B4" w:rsidP="00FC29B4">
      <w:r>
        <w:t>Denne aftale er indgået med hjemmel i ”fælles aftale om lokal løndannelse for pædagogisk område (09.06).</w:t>
      </w:r>
    </w:p>
    <w:p w14:paraId="2366AB6F" w14:textId="77777777" w:rsidR="00FC29B4" w:rsidRDefault="00FC29B4" w:rsidP="00FC29B4"/>
    <w:p w14:paraId="5E1801EA" w14:textId="0219BA88" w:rsidR="00C965FA" w:rsidRDefault="00C965FA" w:rsidP="00FC29B4">
      <w:r>
        <w:t>Præambel</w:t>
      </w:r>
    </w:p>
    <w:p w14:paraId="474E9931" w14:textId="4E8F4919" w:rsidR="00C965FA" w:rsidRDefault="00C965FA" w:rsidP="00FC29B4">
      <w:r>
        <w:t xml:space="preserve">Formålet med aftalen er at sikre entydighed om kompetenceforhold og kompetencegrænser, herunder omfanget af delegation af forhandlings- og aftalekompetencen. </w:t>
      </w:r>
    </w:p>
    <w:p w14:paraId="614F7956" w14:textId="77777777" w:rsidR="00C965FA" w:rsidRDefault="00C965FA" w:rsidP="00FC29B4"/>
    <w:p w14:paraId="1D801B54" w14:textId="77777777" w:rsidR="00C965FA" w:rsidRDefault="00C965FA" w:rsidP="00FC29B4"/>
    <w:p w14:paraId="79EBDFC1" w14:textId="77777777" w:rsidR="00777AB8" w:rsidRDefault="00777AB8" w:rsidP="00FC29B4"/>
    <w:p w14:paraId="71F43F60" w14:textId="77777777" w:rsidR="00777AB8" w:rsidRDefault="00777AB8" w:rsidP="00FC29B4"/>
    <w:p w14:paraId="5036E803" w14:textId="77777777" w:rsidR="00777AB8" w:rsidRDefault="00777AB8" w:rsidP="00FC29B4"/>
    <w:p w14:paraId="03556FC9" w14:textId="77777777" w:rsidR="00777AB8" w:rsidRDefault="00777AB8" w:rsidP="00FC29B4"/>
    <w:p w14:paraId="56CD2BB7" w14:textId="77777777" w:rsidR="00777AB8" w:rsidRDefault="00777AB8" w:rsidP="00FC29B4"/>
    <w:p w14:paraId="29E875F6" w14:textId="77777777" w:rsidR="00777AB8" w:rsidRDefault="00777AB8" w:rsidP="00FC29B4"/>
    <w:p w14:paraId="2A28497C" w14:textId="77777777" w:rsidR="00777AB8" w:rsidRDefault="00777AB8" w:rsidP="00FC29B4"/>
    <w:p w14:paraId="6C7FF3A3" w14:textId="77777777" w:rsidR="00777AB8" w:rsidRDefault="00777AB8" w:rsidP="00FC29B4"/>
    <w:p w14:paraId="77E8D3D3" w14:textId="77777777" w:rsidR="00777AB8" w:rsidRDefault="00777AB8" w:rsidP="00FC29B4"/>
    <w:p w14:paraId="0F32627B" w14:textId="77777777" w:rsidR="00777AB8" w:rsidRDefault="00777AB8" w:rsidP="00FC29B4"/>
    <w:p w14:paraId="779CEBA7" w14:textId="77777777" w:rsidR="00777AB8" w:rsidRDefault="00777AB8" w:rsidP="00FC29B4"/>
    <w:p w14:paraId="33B5E348" w14:textId="77777777" w:rsidR="00777AB8" w:rsidRDefault="00777AB8" w:rsidP="00FC29B4"/>
    <w:p w14:paraId="33F71F18" w14:textId="77777777" w:rsidR="00777AB8" w:rsidRDefault="00777AB8" w:rsidP="00FC29B4"/>
    <w:p w14:paraId="40BB6314" w14:textId="77777777" w:rsidR="00777AB8" w:rsidRDefault="00777AB8" w:rsidP="00FC29B4"/>
    <w:p w14:paraId="526B8B8A" w14:textId="77777777" w:rsidR="00777AB8" w:rsidRDefault="00777AB8" w:rsidP="00FC29B4"/>
    <w:p w14:paraId="43A6F70A" w14:textId="77777777" w:rsidR="00777AB8" w:rsidRDefault="00777AB8" w:rsidP="00FC29B4"/>
    <w:p w14:paraId="40E5E921" w14:textId="18E843E6" w:rsidR="00565C70" w:rsidRPr="00673407" w:rsidRDefault="00565C70" w:rsidP="00FC29B4">
      <w:pPr>
        <w:rPr>
          <w:b/>
          <w:bCs/>
        </w:rPr>
      </w:pPr>
      <w:r w:rsidRPr="00673407">
        <w:rPr>
          <w:b/>
          <w:bCs/>
        </w:rPr>
        <w:lastRenderedPageBreak/>
        <w:t>§1 forhandlingskompetence</w:t>
      </w:r>
    </w:p>
    <w:p w14:paraId="358BC880" w14:textId="6A1FC66D" w:rsidR="00565C70" w:rsidRDefault="00565C70" w:rsidP="00FC29B4">
      <w:r>
        <w:t>Stk. 1 De forhandlingsberettigede parter om lokal løn, er BUPL Hovedstaden og Institutionsbestyrelsen</w:t>
      </w:r>
    </w:p>
    <w:p w14:paraId="5C8B6411" w14:textId="0289D9F0" w:rsidR="00565C70" w:rsidRDefault="00565C70" w:rsidP="00FC29B4">
      <w:r>
        <w:t>Stk. 2. De forhandlingsberettigede parter kan uddelegere forhandlingskompetencen inden for egen organisation</w:t>
      </w:r>
      <w:r w:rsidR="00673407">
        <w:t>/</w:t>
      </w:r>
      <w:r>
        <w:t>institution.</w:t>
      </w:r>
    </w:p>
    <w:p w14:paraId="1C1B8A99" w14:textId="77777777" w:rsidR="00565C70" w:rsidRDefault="00565C70" w:rsidP="00FC29B4">
      <w:pPr>
        <w:rPr>
          <w:b/>
          <w:bCs/>
        </w:rPr>
      </w:pPr>
    </w:p>
    <w:p w14:paraId="5CFA223F" w14:textId="5D478739" w:rsidR="006712C8" w:rsidRPr="00AE23DB" w:rsidRDefault="006712C8" w:rsidP="00FC29B4">
      <w:pPr>
        <w:rPr>
          <w:b/>
          <w:bCs/>
        </w:rPr>
      </w:pPr>
      <w:r w:rsidRPr="00AE23DB">
        <w:rPr>
          <w:b/>
          <w:bCs/>
        </w:rPr>
        <w:t>§</w:t>
      </w:r>
      <w:r w:rsidR="009429CA">
        <w:rPr>
          <w:b/>
          <w:bCs/>
        </w:rPr>
        <w:t xml:space="preserve"> </w:t>
      </w:r>
      <w:r w:rsidRPr="00AE23DB">
        <w:rPr>
          <w:b/>
          <w:bCs/>
        </w:rPr>
        <w:t>2</w:t>
      </w:r>
      <w:r w:rsidR="009429CA">
        <w:rPr>
          <w:b/>
          <w:bCs/>
        </w:rPr>
        <w:t>.</w:t>
      </w:r>
      <w:r w:rsidRPr="00AE23DB">
        <w:rPr>
          <w:b/>
          <w:bCs/>
        </w:rPr>
        <w:t xml:space="preserve"> Terminer og tidsfrister for lokale lønforhandlinger</w:t>
      </w:r>
    </w:p>
    <w:p w14:paraId="0DB96A25" w14:textId="1C1A140E" w:rsidR="006712C8" w:rsidRDefault="006712C8" w:rsidP="00FC29B4">
      <w:r>
        <w:t>Stk. 1.</w:t>
      </w:r>
    </w:p>
    <w:p w14:paraId="458178E7" w14:textId="3CCBC833" w:rsidR="006712C8" w:rsidRDefault="006712C8" w:rsidP="00FC29B4">
      <w:r>
        <w:t>Der kan for hver medarbejder forhandles løn én gang årligt</w:t>
      </w:r>
      <w:r w:rsidR="004E4133">
        <w:t>. Forhandlingen kan</w:t>
      </w:r>
      <w:r w:rsidR="009429CA">
        <w:t xml:space="preserve"> afholdes, </w:t>
      </w:r>
      <w:r w:rsidR="009429CA" w:rsidRPr="009429CA">
        <w:t>hvis</w:t>
      </w:r>
      <w:r w:rsidR="009429CA">
        <w:t>/når</w:t>
      </w:r>
      <w:r w:rsidR="009429CA" w:rsidRPr="009429CA">
        <w:t xml:space="preserve"> en af parterne fremsætter krav </w:t>
      </w:r>
      <w:r w:rsidR="009429CA">
        <w:t>herom</w:t>
      </w:r>
      <w:r w:rsidR="009429CA" w:rsidRPr="009429CA">
        <w:t>.</w:t>
      </w:r>
    </w:p>
    <w:p w14:paraId="41C9CEEF" w14:textId="0F575C04" w:rsidR="006712C8" w:rsidRDefault="006712C8" w:rsidP="00FC29B4">
      <w:r>
        <w:t>Stk. 2</w:t>
      </w:r>
      <w:r w:rsidR="00C161F0">
        <w:t>.</w:t>
      </w:r>
    </w:p>
    <w:p w14:paraId="6A1458E9" w14:textId="1A346D9D" w:rsidR="006712C8" w:rsidRDefault="006712C8" w:rsidP="00FC29B4">
      <w:r>
        <w:t xml:space="preserve">I særlige tilfælde, og hvor parterne er enige </w:t>
      </w:r>
      <w:r w:rsidR="004E4133">
        <w:t>om det</w:t>
      </w:r>
      <w:r>
        <w:t xml:space="preserve">, kan der </w:t>
      </w:r>
      <w:r w:rsidR="004E4133">
        <w:t xml:space="preserve">afholdes mere end én årlig </w:t>
      </w:r>
      <w:r>
        <w:t>lønforhandling</w:t>
      </w:r>
      <w:r w:rsidR="009429CA">
        <w:t xml:space="preserve">, </w:t>
      </w:r>
      <w:r w:rsidR="004E4133">
        <w:t xml:space="preserve">eks. </w:t>
      </w:r>
      <w:r w:rsidR="009429CA">
        <w:t xml:space="preserve"> </w:t>
      </w:r>
      <w:r w:rsidR="002508A2">
        <w:t xml:space="preserve">ved væsentlige stillingsændringer eller arbejdsomlæggelser. </w:t>
      </w:r>
    </w:p>
    <w:p w14:paraId="669E3EB0" w14:textId="62D41A7A" w:rsidR="006712C8" w:rsidRDefault="002508A2" w:rsidP="00FC29B4">
      <w:r>
        <w:t xml:space="preserve">Stk. 3. </w:t>
      </w:r>
    </w:p>
    <w:p w14:paraId="62F0DF1F" w14:textId="1CEC962B" w:rsidR="002508A2" w:rsidRDefault="002508A2" w:rsidP="00FC29B4">
      <w:r>
        <w:t xml:space="preserve">Ved nyansættelser skal det tilstræbes at lønforhandlinger for nyansatte er på plads inden tiltrædelsen. Hvis det ikke er muligt, udbetales der </w:t>
      </w:r>
      <w:r w:rsidR="00D62ADC">
        <w:t>aconto</w:t>
      </w:r>
      <w:r>
        <w:t xml:space="preserve"> løn svarende til den relevante forhåndsaftale. </w:t>
      </w:r>
      <w:r w:rsidR="004E4133">
        <w:br/>
      </w:r>
      <w:r>
        <w:t>Lønaftale</w:t>
      </w:r>
      <w:r w:rsidR="004E4133">
        <w:t>n</w:t>
      </w:r>
      <w:r>
        <w:t xml:space="preserve"> skal være </w:t>
      </w:r>
      <w:r w:rsidR="004E4133">
        <w:t>aftalt</w:t>
      </w:r>
      <w:r>
        <w:t xml:space="preserve"> senest 3 måneder efter ansættelsen. </w:t>
      </w:r>
    </w:p>
    <w:p w14:paraId="1FD6084B" w14:textId="7CF174F0" w:rsidR="002508A2" w:rsidRPr="00AE23DB" w:rsidRDefault="00AE23DB" w:rsidP="00FC29B4">
      <w:r>
        <w:t>Hvis ikke der kan opnås enighed finder §</w:t>
      </w:r>
      <w:r w:rsidR="004E4133">
        <w:t xml:space="preserve"> </w:t>
      </w:r>
      <w:r w:rsidR="00FD3D35">
        <w:t>13</w:t>
      </w:r>
      <w:r>
        <w:t xml:space="preserve"> anvendelse</w:t>
      </w:r>
    </w:p>
    <w:p w14:paraId="2DF44EDB" w14:textId="7A1BECC4" w:rsidR="002508A2" w:rsidRDefault="002508A2" w:rsidP="00FC29B4">
      <w:r>
        <w:t xml:space="preserve"> </w:t>
      </w:r>
      <w:r w:rsidR="00106B83">
        <w:tab/>
        <w:t>Bemærkning:</w:t>
      </w:r>
    </w:p>
    <w:p w14:paraId="366398FC" w14:textId="3673FA3E" w:rsidR="00106B83" w:rsidRDefault="00106B83" w:rsidP="00565C70">
      <w:pPr>
        <w:ind w:left="1304"/>
      </w:pPr>
      <w:r>
        <w:t>For timelønnede, der lønindplaceres efter central overenskomst og forhåndsaftaler</w:t>
      </w:r>
      <w:r w:rsidR="004E4133">
        <w:t>,</w:t>
      </w:r>
      <w:r>
        <w:t xml:space="preserve"> </w:t>
      </w:r>
      <w:r w:rsidR="004E4133">
        <w:t>indgås</w:t>
      </w:r>
      <w:r>
        <w:t xml:space="preserve"> der ikke lønaftaler</w:t>
      </w:r>
    </w:p>
    <w:p w14:paraId="45EC2E40" w14:textId="77777777" w:rsidR="00673407" w:rsidRDefault="00673407" w:rsidP="00FC29B4">
      <w:pPr>
        <w:rPr>
          <w:b/>
          <w:bCs/>
        </w:rPr>
      </w:pPr>
    </w:p>
    <w:p w14:paraId="0C10226E" w14:textId="33224CE1" w:rsidR="00AE23DB" w:rsidRPr="00ED24BD" w:rsidRDefault="00AE23DB" w:rsidP="00FC29B4">
      <w:pPr>
        <w:rPr>
          <w:b/>
          <w:bCs/>
        </w:rPr>
      </w:pPr>
      <w:r w:rsidRPr="00ED24BD">
        <w:rPr>
          <w:b/>
          <w:bCs/>
        </w:rPr>
        <w:t>§</w:t>
      </w:r>
      <w:r w:rsidR="004E4133">
        <w:rPr>
          <w:b/>
          <w:bCs/>
        </w:rPr>
        <w:t xml:space="preserve"> </w:t>
      </w:r>
      <w:r w:rsidRPr="00ED24BD">
        <w:rPr>
          <w:b/>
          <w:bCs/>
        </w:rPr>
        <w:t>3</w:t>
      </w:r>
      <w:r w:rsidR="004E4133">
        <w:rPr>
          <w:b/>
          <w:bCs/>
        </w:rPr>
        <w:t>.</w:t>
      </w:r>
      <w:r w:rsidRPr="00ED24BD">
        <w:rPr>
          <w:b/>
          <w:bCs/>
        </w:rPr>
        <w:t xml:space="preserve"> Økonomisk råderum</w:t>
      </w:r>
    </w:p>
    <w:p w14:paraId="597A687F" w14:textId="7F664159" w:rsidR="00AE23DB" w:rsidRDefault="00AE23DB" w:rsidP="00FC29B4">
      <w:r>
        <w:t>Stk. 1.</w:t>
      </w:r>
    </w:p>
    <w:p w14:paraId="140F2FD8" w14:textId="57CA7FEE" w:rsidR="00FD3D35" w:rsidRPr="00FD3D35" w:rsidRDefault="00FD3D35" w:rsidP="00FD3D35">
      <w:r>
        <w:t>B</w:t>
      </w:r>
      <w:r w:rsidRPr="00FD3D35">
        <w:t xml:space="preserve">estyrelsen og BUPL </w:t>
      </w:r>
      <w:r w:rsidR="00BC0DA6">
        <w:t xml:space="preserve">Hovedstaden </w:t>
      </w:r>
      <w:r>
        <w:t xml:space="preserve">kan </w:t>
      </w:r>
      <w:r w:rsidRPr="00FD3D35">
        <w:t xml:space="preserve">ud over de tillæg, der </w:t>
      </w:r>
      <w:r>
        <w:t>følger den respektive</w:t>
      </w:r>
      <w:r w:rsidRPr="00FD3D35">
        <w:t xml:space="preserve"> forhåndsaftale, aftale individuelle løndele til institutionens </w:t>
      </w:r>
      <w:r>
        <w:t>pædagoger og ledere</w:t>
      </w:r>
      <w:r w:rsidR="00F021D5">
        <w:t xml:space="preserve">, der </w:t>
      </w:r>
      <w:r w:rsidRPr="00FD3D35">
        <w:t>kan udmøntes som varige tillæg eller engangsvederlag inden for en samlet ramme på maksimalt 40.000 kr. årligt (aktuelt beløb, inkl. pension)</w:t>
      </w:r>
      <w:r w:rsidR="00F021D5">
        <w:t>. I det maksimale beløb medregnes</w:t>
      </w:r>
      <w:r w:rsidR="00BC0DA6">
        <w:t xml:space="preserve"> al varig </w:t>
      </w:r>
      <w:r w:rsidR="002E057E">
        <w:t xml:space="preserve">individuel </w:t>
      </w:r>
      <w:r w:rsidR="00BC0DA6">
        <w:t>løn givet fra ansættelsen start</w:t>
      </w:r>
      <w:r w:rsidR="00565C70">
        <w:t xml:space="preserve"> og senere</w:t>
      </w:r>
      <w:r w:rsidRPr="00FD3D35">
        <w:t>.</w:t>
      </w:r>
    </w:p>
    <w:p w14:paraId="16729F64" w14:textId="1C7385A1" w:rsidR="00FD3D35" w:rsidRDefault="00FD3D35" w:rsidP="00FD3D35">
      <w:pPr>
        <w:ind w:left="1304"/>
      </w:pPr>
      <w:r w:rsidRPr="00FD3D35">
        <w:t>Eksempel: Med et varigt årligt tillæg på 30.000 kr. i nutidskroner inkl. pension, kan der maksimalt ydes et årligt engangsvederlag på 10.000 kr. inkl. pension.</w:t>
      </w:r>
    </w:p>
    <w:p w14:paraId="00E6438B" w14:textId="5E11B056" w:rsidR="00FD3D35" w:rsidRDefault="00FD3D35" w:rsidP="00FD3D35">
      <w:r>
        <w:t xml:space="preserve">Stk. </w:t>
      </w:r>
      <w:r w:rsidR="00F021D5">
        <w:t>2</w:t>
      </w:r>
      <w:r w:rsidR="00C161F0">
        <w:t>.</w:t>
      </w:r>
    </w:p>
    <w:p w14:paraId="50FB7394" w14:textId="5E538B80" w:rsidR="001A7141" w:rsidRDefault="009429CA" w:rsidP="00FD3D35">
      <w:r>
        <w:t>Hvis</w:t>
      </w:r>
      <w:r w:rsidR="00FD3D35">
        <w:t xml:space="preserve"> der mellem bestyrelsen og BUPL ønskes at indgå aftale om løndele, der overstiger beløbsgrænsen i stk. </w:t>
      </w:r>
      <w:r w:rsidR="00F021D5">
        <w:t>1</w:t>
      </w:r>
      <w:r w:rsidR="00FD3D35">
        <w:t>, overdrages spørgsmålet herom til et dispensatio</w:t>
      </w:r>
      <w:r w:rsidR="00BD5DB2">
        <w:t>n</w:t>
      </w:r>
      <w:r w:rsidR="00FD3D35">
        <w:t xml:space="preserve">sudvalg sammensat i henhold </w:t>
      </w:r>
      <w:r w:rsidR="00FD3D35" w:rsidRPr="00FC1681">
        <w:t xml:space="preserve">til </w:t>
      </w:r>
      <w:r w:rsidR="00BD5DB2" w:rsidRPr="00FC1681">
        <w:t>§</w:t>
      </w:r>
      <w:r w:rsidR="00F021D5">
        <w:t xml:space="preserve"> </w:t>
      </w:r>
      <w:r w:rsidR="00FC1681" w:rsidRPr="00FC1681">
        <w:t>1</w:t>
      </w:r>
      <w:r w:rsidR="00707842">
        <w:t>3</w:t>
      </w:r>
      <w:r w:rsidR="00FD3D35" w:rsidRPr="00FC1681">
        <w:t xml:space="preserve">. </w:t>
      </w:r>
    </w:p>
    <w:p w14:paraId="5437AF62" w14:textId="64590FFA" w:rsidR="001A7141" w:rsidRDefault="00FD3D35" w:rsidP="00FD3D35">
      <w:r w:rsidRPr="00FC1681">
        <w:lastRenderedPageBreak/>
        <w:t>Kan</w:t>
      </w:r>
      <w:r>
        <w:t xml:space="preserve"> der ikke opnås dispensation og opretholdes ønsket om at tildele løndele ud over beløbsgrænsen, </w:t>
      </w:r>
      <w:r w:rsidR="001A7141">
        <w:t xml:space="preserve">optages dialog mellem dispensationsudvalget og aftalens parter om mulige løsninger som del af forhandlingen. </w:t>
      </w:r>
    </w:p>
    <w:p w14:paraId="327F7DD7" w14:textId="77777777" w:rsidR="001A7141" w:rsidRDefault="001A7141" w:rsidP="00FD3D35">
      <w:r>
        <w:t xml:space="preserve">Stk. 3 </w:t>
      </w:r>
    </w:p>
    <w:p w14:paraId="11418F47" w14:textId="2BDE66DA" w:rsidR="00FD3D35" w:rsidRDefault="001A7141" w:rsidP="00FD3D35">
      <w:r>
        <w:t xml:space="preserve">Hvis </w:t>
      </w:r>
      <w:r w:rsidR="0068146A">
        <w:t>der ikke kan indgås en lønaftale i henhold til stk. 1 og 2</w:t>
      </w:r>
      <w:r>
        <w:t xml:space="preserve">, </w:t>
      </w:r>
      <w:r w:rsidR="00FD3D35">
        <w:t>finder §</w:t>
      </w:r>
      <w:r w:rsidR="00F021D5">
        <w:t xml:space="preserve"> </w:t>
      </w:r>
      <w:r w:rsidR="00FD3D35">
        <w:t>1</w:t>
      </w:r>
      <w:r w:rsidR="00707842">
        <w:t>2</w:t>
      </w:r>
      <w:r w:rsidR="00FD3D35">
        <w:t xml:space="preserve"> anvendelse</w:t>
      </w:r>
    </w:p>
    <w:p w14:paraId="0F944FF9" w14:textId="5E8C3AE7" w:rsidR="00FD3D35" w:rsidRDefault="00FD3D35" w:rsidP="00FD3D35">
      <w:r>
        <w:t xml:space="preserve">Stk. </w:t>
      </w:r>
      <w:r w:rsidR="001A7141">
        <w:t>4</w:t>
      </w:r>
      <w:r w:rsidR="00C161F0">
        <w:t>.</w:t>
      </w:r>
    </w:p>
    <w:p w14:paraId="2379D644" w14:textId="795C7125" w:rsidR="00275F34" w:rsidRDefault="00AE23DB" w:rsidP="00FC29B4">
      <w:r>
        <w:t>Midlerne til lokal lønforhandling, skal findes inden for institutionens lokale råderum til lokal løndannelse.</w:t>
      </w:r>
      <w:r w:rsidR="00275F34">
        <w:t xml:space="preserve"> </w:t>
      </w:r>
    </w:p>
    <w:p w14:paraId="1D0CD462" w14:textId="77E66514" w:rsidR="00AE23DB" w:rsidRPr="00ED24BD" w:rsidRDefault="00AE23DB" w:rsidP="00AE23DB">
      <w:pPr>
        <w:spacing w:line="240" w:lineRule="auto"/>
        <w:rPr>
          <w:b/>
          <w:bCs/>
        </w:rPr>
      </w:pPr>
      <w:r w:rsidRPr="00ED24BD">
        <w:rPr>
          <w:b/>
          <w:bCs/>
        </w:rPr>
        <w:t>§</w:t>
      </w:r>
      <w:r w:rsidR="00F021D5">
        <w:rPr>
          <w:b/>
          <w:bCs/>
        </w:rPr>
        <w:t xml:space="preserve"> </w:t>
      </w:r>
      <w:r w:rsidRPr="00ED24BD">
        <w:rPr>
          <w:b/>
          <w:bCs/>
        </w:rPr>
        <w:t>4</w:t>
      </w:r>
      <w:r w:rsidR="00F021D5">
        <w:rPr>
          <w:b/>
          <w:bCs/>
        </w:rPr>
        <w:t>.</w:t>
      </w:r>
      <w:r w:rsidRPr="00ED24BD">
        <w:rPr>
          <w:b/>
          <w:bCs/>
        </w:rPr>
        <w:t xml:space="preserve"> Udlevering af </w:t>
      </w:r>
      <w:r w:rsidR="00CF328E">
        <w:rPr>
          <w:b/>
          <w:bCs/>
        </w:rPr>
        <w:t>oplysninger</w:t>
      </w:r>
      <w:r w:rsidR="00CF328E" w:rsidRPr="00ED24BD">
        <w:rPr>
          <w:b/>
          <w:bCs/>
        </w:rPr>
        <w:t xml:space="preserve"> </w:t>
      </w:r>
      <w:r w:rsidR="00F021D5">
        <w:rPr>
          <w:b/>
          <w:bCs/>
        </w:rPr>
        <w:t>inden</w:t>
      </w:r>
      <w:r w:rsidR="00F021D5" w:rsidRPr="00ED24BD">
        <w:rPr>
          <w:b/>
          <w:bCs/>
        </w:rPr>
        <w:t xml:space="preserve"> </w:t>
      </w:r>
      <w:r w:rsidRPr="00ED24BD">
        <w:rPr>
          <w:b/>
          <w:bCs/>
        </w:rPr>
        <w:t>lokale lønforhandlinger</w:t>
      </w:r>
    </w:p>
    <w:p w14:paraId="648A4FD4" w14:textId="1CF3865F" w:rsidR="00AE23DB" w:rsidRDefault="00F021D5" w:rsidP="00AE23DB">
      <w:pPr>
        <w:spacing w:line="240" w:lineRule="auto"/>
      </w:pPr>
      <w:r>
        <w:t>T</w:t>
      </w:r>
      <w:r w:rsidR="00AE23DB">
        <w:t>illidsrepræsentant</w:t>
      </w:r>
      <w:r>
        <w:t>en</w:t>
      </w:r>
      <w:r w:rsidR="00AE23DB">
        <w:t xml:space="preserve"> skal </w:t>
      </w:r>
      <w:r>
        <w:t>gives</w:t>
      </w:r>
      <w:r w:rsidR="00AE23DB">
        <w:t xml:space="preserve"> alle relevante oplysninger om løn- og ansættelsesforhold for medarbejdere i den overenskomstgruppe, som pågældende repræsenterer. </w:t>
      </w:r>
    </w:p>
    <w:p w14:paraId="1C009DC2" w14:textId="3452AC72" w:rsidR="00AE23DB" w:rsidRDefault="00F021D5" w:rsidP="00AE23DB">
      <w:pPr>
        <w:spacing w:line="240" w:lineRule="auto"/>
      </w:pPr>
      <w:r>
        <w:t>Inden</w:t>
      </w:r>
      <w:r w:rsidR="00AE23DB">
        <w:t xml:space="preserve"> </w:t>
      </w:r>
      <w:r>
        <w:t>l</w:t>
      </w:r>
      <w:r w:rsidR="00AE23DB">
        <w:t>ønforhandling</w:t>
      </w:r>
      <w:r>
        <w:t>en afholdes,</w:t>
      </w:r>
      <w:r w:rsidR="00ED24BD">
        <w:t xml:space="preserve"> udleverer institutionen, efter anmodning, en oversigt over </w:t>
      </w:r>
      <w:r>
        <w:t xml:space="preserve">de </w:t>
      </w:r>
      <w:r w:rsidR="00ED24BD">
        <w:t>medarbejdere</w:t>
      </w:r>
      <w:r>
        <w:t>, der er ansat efter den relevante overenskomst, til tillidsrepræsentanten eller den faglige organisation</w:t>
      </w:r>
      <w:r w:rsidR="00ED24BD">
        <w:t xml:space="preserve">. </w:t>
      </w:r>
    </w:p>
    <w:p w14:paraId="22F94363" w14:textId="6BD16F74" w:rsidR="00ED24BD" w:rsidRDefault="00F021D5" w:rsidP="00AE23DB">
      <w:pPr>
        <w:spacing w:line="240" w:lineRule="auto"/>
      </w:pPr>
      <w:r>
        <w:t>Der bør gives</w:t>
      </w:r>
      <w:r w:rsidR="00ED24BD">
        <w:t xml:space="preserve"> følgende oplysninger:</w:t>
      </w:r>
    </w:p>
    <w:p w14:paraId="2EED9D49" w14:textId="6D0258F4" w:rsidR="00ED24BD" w:rsidRDefault="00ED24BD" w:rsidP="00ED24BD">
      <w:pPr>
        <w:pStyle w:val="Listeafsnit"/>
        <w:numPr>
          <w:ilvl w:val="0"/>
          <w:numId w:val="2"/>
        </w:numPr>
        <w:spacing w:line="240" w:lineRule="auto"/>
      </w:pPr>
      <w:r>
        <w:t xml:space="preserve">Navn </w:t>
      </w:r>
    </w:p>
    <w:p w14:paraId="51ED51C0" w14:textId="6C2BD7C2" w:rsidR="00ED24BD" w:rsidRDefault="00ED24BD" w:rsidP="00ED24BD">
      <w:pPr>
        <w:pStyle w:val="Listeafsnit"/>
        <w:numPr>
          <w:ilvl w:val="0"/>
          <w:numId w:val="2"/>
        </w:numPr>
        <w:spacing w:line="240" w:lineRule="auto"/>
      </w:pPr>
      <w:r>
        <w:t xml:space="preserve">Fødselsdato eller Cpr. nr. </w:t>
      </w:r>
    </w:p>
    <w:p w14:paraId="6C174B68" w14:textId="5F4E074B" w:rsidR="00ED24BD" w:rsidRDefault="00ED24BD" w:rsidP="00ED24BD">
      <w:pPr>
        <w:pStyle w:val="Listeafsnit"/>
        <w:numPr>
          <w:ilvl w:val="0"/>
          <w:numId w:val="2"/>
        </w:numPr>
        <w:spacing w:line="240" w:lineRule="auto"/>
      </w:pPr>
      <w:r>
        <w:t xml:space="preserve">Stillingsbetegnelse </w:t>
      </w:r>
    </w:p>
    <w:p w14:paraId="324C4DC3" w14:textId="282BCA2C" w:rsidR="00ED24BD" w:rsidRDefault="00ED24BD" w:rsidP="00ED24BD">
      <w:pPr>
        <w:pStyle w:val="Listeafsnit"/>
        <w:numPr>
          <w:ilvl w:val="0"/>
          <w:numId w:val="2"/>
        </w:numPr>
        <w:spacing w:line="240" w:lineRule="auto"/>
      </w:pPr>
      <w:r>
        <w:t>Erfaringsdato</w:t>
      </w:r>
    </w:p>
    <w:p w14:paraId="34E85934" w14:textId="22F9E3AC" w:rsidR="00CF328E" w:rsidRDefault="00ED24BD" w:rsidP="00CF328E">
      <w:pPr>
        <w:pStyle w:val="Listeafsnit"/>
        <w:numPr>
          <w:ilvl w:val="0"/>
          <w:numId w:val="2"/>
        </w:numPr>
        <w:spacing w:line="240" w:lineRule="auto"/>
      </w:pPr>
      <w:r>
        <w:t>Lønindplacering/lønsammensætning</w:t>
      </w:r>
    </w:p>
    <w:p w14:paraId="154C2E32" w14:textId="084BDCD8" w:rsidR="00CF328E" w:rsidRDefault="00CF328E" w:rsidP="00673407">
      <w:pPr>
        <w:spacing w:line="240" w:lineRule="auto"/>
      </w:pPr>
      <w:r>
        <w:t xml:space="preserve">Ved lønforhandlinger </w:t>
      </w:r>
      <w:r w:rsidR="00F021D5">
        <w:t>ifm.</w:t>
      </w:r>
      <w:r>
        <w:t xml:space="preserve"> nyansættelser </w:t>
      </w:r>
      <w:r w:rsidR="00F021D5">
        <w:t>udleveres samme</w:t>
      </w:r>
      <w:r>
        <w:t xml:space="preserve"> oplysninger. </w:t>
      </w:r>
    </w:p>
    <w:p w14:paraId="7740AEE9" w14:textId="77777777" w:rsidR="00C45633" w:rsidRDefault="00C45633" w:rsidP="00673407">
      <w:pPr>
        <w:spacing w:line="240" w:lineRule="auto"/>
      </w:pPr>
    </w:p>
    <w:p w14:paraId="77A07714" w14:textId="7E251963" w:rsidR="00C45633" w:rsidRDefault="00C45633" w:rsidP="00673407">
      <w:pPr>
        <w:spacing w:line="240" w:lineRule="auto"/>
      </w:pPr>
      <w:proofErr w:type="gramStart"/>
      <w:r>
        <w:t>Såfremt</w:t>
      </w:r>
      <w:proofErr w:type="gramEnd"/>
      <w:r>
        <w:t xml:space="preserve"> en af parterne anvender andet statistisk materiale i forbindelse med lønforhandlingen, skal det tilsvarende materiale udleveres til modparten, </w:t>
      </w:r>
      <w:proofErr w:type="gramStart"/>
      <w:r>
        <w:t>således at</w:t>
      </w:r>
      <w:proofErr w:type="gramEnd"/>
      <w:r>
        <w:t xml:space="preserve"> begge </w:t>
      </w:r>
      <w:proofErr w:type="spellStart"/>
      <w:r>
        <w:t>forhandlingsparter</w:t>
      </w:r>
      <w:proofErr w:type="spellEnd"/>
      <w:r>
        <w:t xml:space="preserve"> har adgang til samme statistiske materiale.</w:t>
      </w:r>
    </w:p>
    <w:p w14:paraId="2CD9F32A" w14:textId="59431DCD" w:rsidR="00C45633" w:rsidRDefault="00C45633" w:rsidP="00673407">
      <w:pPr>
        <w:spacing w:line="240" w:lineRule="auto"/>
      </w:pPr>
      <w:r>
        <w:t xml:space="preserve">Der henvises i øvrigt til aftale om statistikgrundlag for de lokale lønforhandlinger samt bestemmelserne om udlevering af </w:t>
      </w:r>
      <w:r w:rsidR="00EF5726">
        <w:t>lønoplysninger til valgte tillidsrepræsentanter i rammeaftale om medindflydelse og medbestemmelse.</w:t>
      </w:r>
    </w:p>
    <w:p w14:paraId="0235FAE8" w14:textId="77777777" w:rsidR="00ED24BD" w:rsidRDefault="00ED24BD" w:rsidP="00FC29B4">
      <w:pPr>
        <w:rPr>
          <w:b/>
          <w:bCs/>
        </w:rPr>
      </w:pPr>
    </w:p>
    <w:p w14:paraId="3C531500" w14:textId="5B989FC8" w:rsidR="00F4576D" w:rsidRPr="00ED24BD" w:rsidRDefault="00ED24BD" w:rsidP="00FC29B4">
      <w:pPr>
        <w:rPr>
          <w:b/>
          <w:bCs/>
        </w:rPr>
      </w:pPr>
      <w:r w:rsidRPr="00ED24BD">
        <w:rPr>
          <w:b/>
          <w:bCs/>
        </w:rPr>
        <w:t>§</w:t>
      </w:r>
      <w:r w:rsidR="0017158C">
        <w:rPr>
          <w:b/>
          <w:bCs/>
        </w:rPr>
        <w:t xml:space="preserve"> </w:t>
      </w:r>
      <w:r w:rsidRPr="00ED24BD">
        <w:rPr>
          <w:b/>
          <w:bCs/>
        </w:rPr>
        <w:t>5</w:t>
      </w:r>
      <w:r w:rsidR="0017158C">
        <w:rPr>
          <w:b/>
          <w:bCs/>
        </w:rPr>
        <w:t>.</w:t>
      </w:r>
      <w:r w:rsidRPr="00ED24BD">
        <w:rPr>
          <w:b/>
          <w:bCs/>
        </w:rPr>
        <w:t xml:space="preserve"> L</w:t>
      </w:r>
      <w:r w:rsidR="0017158C">
        <w:rPr>
          <w:b/>
          <w:bCs/>
        </w:rPr>
        <w:t>okal l</w:t>
      </w:r>
      <w:r w:rsidRPr="00ED24BD">
        <w:rPr>
          <w:b/>
          <w:bCs/>
        </w:rPr>
        <w:t>ønpolitik</w:t>
      </w:r>
      <w:r w:rsidR="0017158C">
        <w:rPr>
          <w:b/>
          <w:bCs/>
        </w:rPr>
        <w:t>/lokal løn</w:t>
      </w:r>
    </w:p>
    <w:p w14:paraId="508636FB" w14:textId="084027B6" w:rsidR="00ED24BD" w:rsidRDefault="00ED24BD" w:rsidP="00FC29B4">
      <w:r>
        <w:t>Stk. 1</w:t>
      </w:r>
      <w:r w:rsidR="00C161F0">
        <w:t>.</w:t>
      </w:r>
    </w:p>
    <w:p w14:paraId="7415B8E7" w14:textId="50250A8B" w:rsidR="00ED24BD" w:rsidRDefault="00ED24BD" w:rsidP="00FC29B4">
      <w:r>
        <w:t>Lokal løn udmøntes inden for rammerne af institutionens lønpolitik.</w:t>
      </w:r>
    </w:p>
    <w:p w14:paraId="7FF0237C" w14:textId="5E25DF3B" w:rsidR="00F4576D" w:rsidRDefault="00ED24BD" w:rsidP="00ED24BD">
      <w:pPr>
        <w:ind w:firstLine="1304"/>
        <w:contextualSpacing/>
      </w:pPr>
      <w:r>
        <w:t>Bemærkning:</w:t>
      </w:r>
    </w:p>
    <w:p w14:paraId="70AE0DA9" w14:textId="5C8A8CAD" w:rsidR="00ED24BD" w:rsidRDefault="00ED24BD" w:rsidP="00ED24BD">
      <w:pPr>
        <w:ind w:firstLine="1304"/>
        <w:contextualSpacing/>
      </w:pPr>
      <w:r>
        <w:t>Lokal løn kan ikke udmøntes før der er aftalt en lønpolitik i institutionen</w:t>
      </w:r>
    </w:p>
    <w:p w14:paraId="7C2EE475" w14:textId="420C457B" w:rsidR="00ED24BD" w:rsidRDefault="00ED24BD" w:rsidP="00FC29B4">
      <w:r>
        <w:t xml:space="preserve">Stk. </w:t>
      </w:r>
      <w:r w:rsidR="0017158C">
        <w:t>2</w:t>
      </w:r>
      <w:r>
        <w:t>.</w:t>
      </w:r>
    </w:p>
    <w:p w14:paraId="08DA05A5" w14:textId="3F8E16C9" w:rsidR="00ED24BD" w:rsidRDefault="00D50718" w:rsidP="00FC29B4">
      <w:r>
        <w:t>Der kan lokalt indgås aftale om:</w:t>
      </w:r>
    </w:p>
    <w:p w14:paraId="3EB72CA1" w14:textId="16D75420" w:rsidR="00F4576D" w:rsidRDefault="00D50718" w:rsidP="00FC29B4">
      <w:pPr>
        <w:pStyle w:val="Listeafsnit"/>
        <w:numPr>
          <w:ilvl w:val="0"/>
          <w:numId w:val="2"/>
        </w:numPr>
      </w:pPr>
      <w:r>
        <w:lastRenderedPageBreak/>
        <w:t>Funktionstillæg for særlige opgaver/funktioner i form af kronebeløb</w:t>
      </w:r>
    </w:p>
    <w:p w14:paraId="1DFBC6E1" w14:textId="7BF2ECFD" w:rsidR="00D50718" w:rsidRDefault="00D50718" w:rsidP="00FC29B4">
      <w:pPr>
        <w:pStyle w:val="Listeafsnit"/>
        <w:numPr>
          <w:ilvl w:val="0"/>
          <w:numId w:val="2"/>
        </w:numPr>
      </w:pPr>
      <w:r>
        <w:t>Kvalifikationstillæg for personlige kvalifikationer i form af kronebeløb</w:t>
      </w:r>
    </w:p>
    <w:p w14:paraId="49EFF086" w14:textId="0FBB176B" w:rsidR="00D50718" w:rsidRDefault="00D50718" w:rsidP="00FC29B4">
      <w:pPr>
        <w:pStyle w:val="Listeafsnit"/>
        <w:numPr>
          <w:ilvl w:val="0"/>
          <w:numId w:val="2"/>
        </w:numPr>
      </w:pPr>
      <w:r>
        <w:t>Midlertidige funktionstillæg for en given periode</w:t>
      </w:r>
    </w:p>
    <w:p w14:paraId="5EF0195C" w14:textId="097A5486" w:rsidR="00D50718" w:rsidRDefault="00D50718" w:rsidP="00FC29B4">
      <w:pPr>
        <w:pStyle w:val="Listeafsnit"/>
        <w:numPr>
          <w:ilvl w:val="0"/>
          <w:numId w:val="2"/>
        </w:numPr>
      </w:pPr>
      <w:r>
        <w:t>Engangsbeløb</w:t>
      </w:r>
    </w:p>
    <w:p w14:paraId="3F00C01F" w14:textId="2AEF1131" w:rsidR="00D50718" w:rsidRDefault="00D50718" w:rsidP="00FC29B4">
      <w:pPr>
        <w:pStyle w:val="Listeafsnit"/>
        <w:numPr>
          <w:ilvl w:val="0"/>
          <w:numId w:val="2"/>
        </w:numPr>
      </w:pPr>
      <w:r>
        <w:t xml:space="preserve">Resultatløn baseret på opfyldelse af fastsatte mål af enten kvantitativ eller kvalitativ karakter. Det er ikke en forudsætning for at indgå aftale om anvendelse af resultatløn, at den indsats der honoreres på </w:t>
      </w:r>
      <w:r w:rsidR="0017158C">
        <w:t>forhånd,</w:t>
      </w:r>
      <w:r>
        <w:t xml:space="preserve"> er målsat.</w:t>
      </w:r>
    </w:p>
    <w:p w14:paraId="75D96505" w14:textId="7D36283A" w:rsidR="00D50718" w:rsidRDefault="00D50718" w:rsidP="00B4480F">
      <w:pPr>
        <w:ind w:left="1304"/>
        <w:contextualSpacing/>
      </w:pPr>
      <w:r>
        <w:t>Bemærkning:</w:t>
      </w:r>
    </w:p>
    <w:p w14:paraId="4D350536" w14:textId="05FC4F6D" w:rsidR="00D50718" w:rsidRDefault="00D50718" w:rsidP="00B4480F">
      <w:pPr>
        <w:ind w:left="1304"/>
        <w:contextualSpacing/>
      </w:pPr>
      <w:r>
        <w:t xml:space="preserve">Der </w:t>
      </w:r>
      <w:r w:rsidR="00067BB8">
        <w:t xml:space="preserve">kan </w:t>
      </w:r>
      <w:r>
        <w:t xml:space="preserve">kun i særlige situationer indgås aftaler om løntrin. </w:t>
      </w:r>
    </w:p>
    <w:p w14:paraId="3B95FC5B" w14:textId="7D8C9876" w:rsidR="00F4576D" w:rsidRDefault="00873217" w:rsidP="00FC29B4">
      <w:r>
        <w:t xml:space="preserve">Stk. </w:t>
      </w:r>
      <w:r w:rsidR="0017158C">
        <w:t>3</w:t>
      </w:r>
      <w:r>
        <w:t xml:space="preserve">. </w:t>
      </w:r>
    </w:p>
    <w:p w14:paraId="10FB735D" w14:textId="27486D13" w:rsidR="00873217" w:rsidRDefault="00873217" w:rsidP="00FC29B4">
      <w:r>
        <w:t xml:space="preserve">Alle </w:t>
      </w:r>
      <w:r w:rsidR="00673407">
        <w:t xml:space="preserve">varige </w:t>
      </w:r>
      <w:r>
        <w:t>tillæg er pensionsgivende, når den pågældende medarbejder er pensionsberettiget i henhold til overenskomsten</w:t>
      </w:r>
      <w:r w:rsidR="00673407">
        <w:t xml:space="preserve">. Engangsbeløb er pensionsgivende medmindre </w:t>
      </w:r>
      <w:r w:rsidR="00ED78B0">
        <w:t>an</w:t>
      </w:r>
      <w:r w:rsidR="00673407">
        <w:t xml:space="preserve">det konkret aftales. </w:t>
      </w:r>
    </w:p>
    <w:p w14:paraId="58B62C71" w14:textId="3B90DF17" w:rsidR="00873217" w:rsidRDefault="00873217" w:rsidP="00FC29B4">
      <w:r>
        <w:t>Resultatløn udmøntes som ikke-pensionsgivende, medmindre andet konkret aftales.</w:t>
      </w:r>
    </w:p>
    <w:p w14:paraId="681107BA" w14:textId="1C92AC93" w:rsidR="00F4576D" w:rsidRDefault="00873217" w:rsidP="00FC29B4">
      <w:r>
        <w:t xml:space="preserve">Stk. </w:t>
      </w:r>
      <w:r w:rsidR="0017158C">
        <w:t>4.</w:t>
      </w:r>
      <w:r>
        <w:t xml:space="preserve"> </w:t>
      </w:r>
    </w:p>
    <w:p w14:paraId="6F69734D" w14:textId="0A8CDD89" w:rsidR="00873217" w:rsidRDefault="00873217" w:rsidP="00FC29B4">
      <w:r>
        <w:t xml:space="preserve">Kvalifikationsløn bevares ved ansøgt eller uansøgt stillingsskift hos samme arbejdsgiver. Der kan eventuelt aftales omdefinering af begrundelsen for de enkelte tillæg ved stillingsskiftet. </w:t>
      </w:r>
    </w:p>
    <w:p w14:paraId="08CF94D1" w14:textId="236C4031" w:rsidR="00F4576D" w:rsidRDefault="00873217" w:rsidP="00FC29B4">
      <w:r>
        <w:t xml:space="preserve">Stk. </w:t>
      </w:r>
      <w:r w:rsidR="0017158C">
        <w:t>5.</w:t>
      </w:r>
    </w:p>
    <w:p w14:paraId="4F5BDA6D" w14:textId="40E50312" w:rsidR="00873217" w:rsidRDefault="00873217" w:rsidP="00FC29B4">
      <w:r>
        <w:t>Aftaler om tillæg i form af løntrin til reglementsansatte kan ikke opsiges.</w:t>
      </w:r>
    </w:p>
    <w:p w14:paraId="002E2D55" w14:textId="77777777" w:rsidR="00873217" w:rsidRDefault="00873217" w:rsidP="00FC29B4"/>
    <w:p w14:paraId="0713C983" w14:textId="13C44347" w:rsidR="00873217" w:rsidRPr="00873217" w:rsidRDefault="00873217" w:rsidP="00FC29B4">
      <w:pPr>
        <w:rPr>
          <w:b/>
          <w:bCs/>
        </w:rPr>
      </w:pPr>
      <w:r w:rsidRPr="00873217">
        <w:rPr>
          <w:b/>
          <w:bCs/>
        </w:rPr>
        <w:t>§</w:t>
      </w:r>
      <w:r w:rsidR="0017158C">
        <w:rPr>
          <w:b/>
          <w:bCs/>
        </w:rPr>
        <w:t xml:space="preserve"> </w:t>
      </w:r>
      <w:r w:rsidR="00707842">
        <w:rPr>
          <w:b/>
          <w:bCs/>
        </w:rPr>
        <w:t>6</w:t>
      </w:r>
      <w:r w:rsidR="0017158C">
        <w:rPr>
          <w:b/>
          <w:bCs/>
        </w:rPr>
        <w:t>.</w:t>
      </w:r>
      <w:r w:rsidRPr="00873217">
        <w:rPr>
          <w:b/>
          <w:bCs/>
        </w:rPr>
        <w:t xml:space="preserve"> Ligeløn</w:t>
      </w:r>
    </w:p>
    <w:p w14:paraId="1693133F" w14:textId="5CFABC72" w:rsidR="00873217" w:rsidRDefault="00873217" w:rsidP="00FC29B4">
      <w:r>
        <w:t>Ligelønsloven fastlægger, at der ikke må ske lønmæssig forskelsbehandling pga. køn</w:t>
      </w:r>
      <w:r w:rsidR="0017158C">
        <w:t>.</w:t>
      </w:r>
    </w:p>
    <w:p w14:paraId="2E329C8E" w14:textId="77777777" w:rsidR="00873217" w:rsidRDefault="00873217" w:rsidP="00FC29B4"/>
    <w:p w14:paraId="0AE7C797" w14:textId="51E0152B" w:rsidR="00873217" w:rsidRPr="009D29DC" w:rsidRDefault="00873217" w:rsidP="00FC29B4">
      <w:pPr>
        <w:rPr>
          <w:b/>
          <w:bCs/>
        </w:rPr>
      </w:pPr>
      <w:r w:rsidRPr="009D29DC">
        <w:rPr>
          <w:b/>
          <w:bCs/>
        </w:rPr>
        <w:t>§</w:t>
      </w:r>
      <w:r w:rsidR="0017158C">
        <w:rPr>
          <w:b/>
          <w:bCs/>
        </w:rPr>
        <w:t xml:space="preserve"> </w:t>
      </w:r>
      <w:r w:rsidR="00707842">
        <w:rPr>
          <w:b/>
          <w:bCs/>
        </w:rPr>
        <w:t>7</w:t>
      </w:r>
      <w:r w:rsidR="0017158C">
        <w:rPr>
          <w:b/>
          <w:bCs/>
        </w:rPr>
        <w:t>.</w:t>
      </w:r>
      <w:r w:rsidRPr="009D29DC">
        <w:rPr>
          <w:b/>
          <w:bCs/>
        </w:rPr>
        <w:t xml:space="preserve"> Begrundelser</w:t>
      </w:r>
    </w:p>
    <w:p w14:paraId="3D659200" w14:textId="49E41C46" w:rsidR="00873217" w:rsidRDefault="00275F34" w:rsidP="00FC29B4">
      <w:r>
        <w:t>Individuelle tillæg kan ydes for opgaver og relevante kvalifikationer, der ligger ud over hvad der normalt kan forventes af en medarbejder/leder.</w:t>
      </w:r>
    </w:p>
    <w:p w14:paraId="397B68AA" w14:textId="71553CAD" w:rsidR="00275F34" w:rsidRDefault="00275F34" w:rsidP="00FC29B4">
      <w:r>
        <w:t>Når den ansatte tildeles funktionsløn, kvalifikationsløn og/eller resultatløn</w:t>
      </w:r>
      <w:r w:rsidR="009D29DC">
        <w:t>, skal pågældende underrettes skriftligt om kriterierne for aftalen</w:t>
      </w:r>
      <w:r w:rsidR="0017158C">
        <w:t>,</w:t>
      </w:r>
      <w:r w:rsidR="009D29DC">
        <w:t xml:space="preserve"> </w:t>
      </w:r>
      <w:r w:rsidR="00B00E1B">
        <w:t>herunder om ændringer.</w:t>
      </w:r>
    </w:p>
    <w:p w14:paraId="7AA36348" w14:textId="3FB060FE" w:rsidR="00B00E1B" w:rsidRDefault="00B00E1B" w:rsidP="00FC29B4">
      <w:r>
        <w:t>Der skal være en tydelig sammenhæng mellem opgavevaretagelsen og betalingen herfor.</w:t>
      </w:r>
    </w:p>
    <w:p w14:paraId="7D0046AA" w14:textId="77777777" w:rsidR="00D6532C" w:rsidRDefault="00D6532C" w:rsidP="00FC29B4">
      <w:pPr>
        <w:rPr>
          <w:b/>
          <w:bCs/>
        </w:rPr>
      </w:pPr>
    </w:p>
    <w:p w14:paraId="626E3A4D" w14:textId="31EDB9F4" w:rsidR="00B00E1B" w:rsidRPr="00D6532C" w:rsidRDefault="00B00E1B" w:rsidP="00FC29B4">
      <w:pPr>
        <w:rPr>
          <w:b/>
          <w:bCs/>
        </w:rPr>
      </w:pPr>
      <w:r w:rsidRPr="00D6532C">
        <w:rPr>
          <w:b/>
          <w:bCs/>
        </w:rPr>
        <w:t>§</w:t>
      </w:r>
      <w:r w:rsidR="0017158C">
        <w:rPr>
          <w:b/>
          <w:bCs/>
        </w:rPr>
        <w:t xml:space="preserve"> </w:t>
      </w:r>
      <w:r w:rsidR="00707842">
        <w:rPr>
          <w:b/>
          <w:bCs/>
        </w:rPr>
        <w:t>8</w:t>
      </w:r>
      <w:r w:rsidR="0017158C">
        <w:rPr>
          <w:b/>
          <w:bCs/>
        </w:rPr>
        <w:t>.</w:t>
      </w:r>
      <w:r w:rsidRPr="00D6532C">
        <w:rPr>
          <w:b/>
          <w:bCs/>
        </w:rPr>
        <w:t xml:space="preserve"> Formidling af aftaler om lokal løn</w:t>
      </w:r>
    </w:p>
    <w:p w14:paraId="748993E3" w14:textId="4F0399DD" w:rsidR="00B00E1B" w:rsidRDefault="00B00E1B" w:rsidP="00FC29B4">
      <w:r>
        <w:t>Ved den lokale lønforhandling aftales det</w:t>
      </w:r>
      <w:r w:rsidR="0017158C">
        <w:t>,</w:t>
      </w:r>
      <w:r>
        <w:t xml:space="preserve"> hvordan resultatet skal formidles, medmindre det </w:t>
      </w:r>
      <w:r w:rsidR="0017158C">
        <w:t>fremgår af</w:t>
      </w:r>
      <w:r>
        <w:t xml:space="preserve"> den lokale lønpolitik.</w:t>
      </w:r>
    </w:p>
    <w:p w14:paraId="16941D96" w14:textId="77777777" w:rsidR="00B00E1B" w:rsidRDefault="00B00E1B" w:rsidP="00FC29B4"/>
    <w:p w14:paraId="180C0882" w14:textId="5EA1A86A" w:rsidR="00873217" w:rsidRPr="00B00E1B" w:rsidRDefault="00B00E1B" w:rsidP="00FC29B4">
      <w:pPr>
        <w:rPr>
          <w:b/>
          <w:bCs/>
        </w:rPr>
      </w:pPr>
      <w:r w:rsidRPr="00B00E1B">
        <w:rPr>
          <w:b/>
          <w:bCs/>
        </w:rPr>
        <w:t>§</w:t>
      </w:r>
      <w:r w:rsidR="0017158C">
        <w:rPr>
          <w:b/>
          <w:bCs/>
        </w:rPr>
        <w:t xml:space="preserve"> </w:t>
      </w:r>
      <w:r w:rsidR="00707842">
        <w:rPr>
          <w:b/>
          <w:bCs/>
        </w:rPr>
        <w:t>9</w:t>
      </w:r>
      <w:r w:rsidR="0017158C">
        <w:rPr>
          <w:b/>
          <w:bCs/>
        </w:rPr>
        <w:t>.</w:t>
      </w:r>
      <w:r w:rsidRPr="00B00E1B">
        <w:rPr>
          <w:b/>
          <w:bCs/>
        </w:rPr>
        <w:t xml:space="preserve"> Opsigelse af funktions</w:t>
      </w:r>
      <w:r w:rsidR="00595742">
        <w:rPr>
          <w:b/>
          <w:bCs/>
        </w:rPr>
        <w:t>tillæg</w:t>
      </w:r>
    </w:p>
    <w:p w14:paraId="5D6AA256" w14:textId="7A855B80" w:rsidR="00B00E1B" w:rsidRDefault="00B00E1B" w:rsidP="00FC29B4">
      <w:r>
        <w:lastRenderedPageBreak/>
        <w:t>Stk. 1.</w:t>
      </w:r>
    </w:p>
    <w:p w14:paraId="45375AAD" w14:textId="43577F3A" w:rsidR="00B00E1B" w:rsidRDefault="00B00E1B" w:rsidP="00FC29B4">
      <w:r>
        <w:t xml:space="preserve">Lokale aftaler om funktionsbestemte løntillæg kan opsiges i overensstemmelse med den lokale aftale, eller ændres ved enighed mellem aftalens parter. </w:t>
      </w:r>
    </w:p>
    <w:p w14:paraId="5C3FA8F9" w14:textId="1579F547" w:rsidR="00B00E1B" w:rsidRDefault="00B00E1B" w:rsidP="00D62ADC">
      <w:pPr>
        <w:contextualSpacing/>
      </w:pPr>
      <w:r>
        <w:tab/>
        <w:t>Bemærkning:</w:t>
      </w:r>
    </w:p>
    <w:p w14:paraId="1C37D411" w14:textId="0FAE33D2" w:rsidR="00B00E1B" w:rsidRDefault="00B00E1B" w:rsidP="00D62ADC">
      <w:pPr>
        <w:ind w:left="1304"/>
        <w:contextualSpacing/>
      </w:pPr>
      <w:r>
        <w:t xml:space="preserve">Denne bestemmelse gælder </w:t>
      </w:r>
      <w:r w:rsidR="00D62ADC">
        <w:t xml:space="preserve">for </w:t>
      </w:r>
      <w:r>
        <w:t>både aftaler indgået for flere medarbejdere</w:t>
      </w:r>
      <w:r w:rsidR="00D62ADC">
        <w:t xml:space="preserve"> såvel som aftaler indgået for en enkelt medarbejder. Aftaler indgået for en enkelt medarbejder skal opsiges med den pågældendes opsigelsesvarsel.</w:t>
      </w:r>
    </w:p>
    <w:p w14:paraId="0426D6CC" w14:textId="144E598A" w:rsidR="00D62ADC" w:rsidRDefault="00D62ADC" w:rsidP="00D62ADC">
      <w:r>
        <w:t xml:space="preserve">Stk. 2. </w:t>
      </w:r>
    </w:p>
    <w:p w14:paraId="1EB7843F" w14:textId="65185302" w:rsidR="00D62ADC" w:rsidRDefault="00D62ADC" w:rsidP="00D62ADC">
      <w:r>
        <w:t xml:space="preserve">Funktionsbestemte lønforbedringer med hjemmel i </w:t>
      </w:r>
      <w:r w:rsidR="0017158C">
        <w:t xml:space="preserve">lokal </w:t>
      </w:r>
      <w:r>
        <w:t xml:space="preserve">aftale ophører uden yderligere varsel ved udgangen af </w:t>
      </w:r>
      <w:r w:rsidR="0017158C">
        <w:t xml:space="preserve">den </w:t>
      </w:r>
      <w:r>
        <w:t>måned</w:t>
      </w:r>
      <w:r w:rsidR="0017158C">
        <w:t>,</w:t>
      </w:r>
      <w:r>
        <w:t xml:space="preserve"> hvor funktionen bortfalder for den pågældende, </w:t>
      </w:r>
      <w:r w:rsidR="0017158C">
        <w:t xml:space="preserve">hvis </w:t>
      </w:r>
      <w:r>
        <w:t xml:space="preserve">forudsætningen for tillægget var knyttet til varetagelsen af den bestemte funktion. </w:t>
      </w:r>
      <w:r w:rsidR="0017158C">
        <w:br/>
      </w:r>
      <w:r>
        <w:t xml:space="preserve">Lokalt aftalte lønforbedringer kan desuden ophøre i overensstemmelse med bestemmelser herom i den lokale aftale, herunder forhåndsaftaler. </w:t>
      </w:r>
    </w:p>
    <w:p w14:paraId="1182D174" w14:textId="73BA82DD" w:rsidR="00D62ADC" w:rsidRDefault="00D62ADC" w:rsidP="00D62ADC">
      <w:r>
        <w:tab/>
        <w:t>Bemærkning:</w:t>
      </w:r>
    </w:p>
    <w:p w14:paraId="5F5CF4FD" w14:textId="63218513" w:rsidR="00D62ADC" w:rsidRDefault="00D62ADC" w:rsidP="00D62ADC">
      <w:pPr>
        <w:ind w:left="1304"/>
      </w:pPr>
      <w:r>
        <w:t>Ophør af løntillæg kan i nogle situationer medføre vilkårsændringer, som skal behandles efter overenskomstens bestemmelser.</w:t>
      </w:r>
    </w:p>
    <w:p w14:paraId="0D30F1A7" w14:textId="60F622FF" w:rsidR="00690675" w:rsidRDefault="00690675" w:rsidP="00690675"/>
    <w:p w14:paraId="484F7184" w14:textId="35CF02DC" w:rsidR="00690675" w:rsidRPr="00D6532C" w:rsidRDefault="00690675" w:rsidP="00690675">
      <w:pPr>
        <w:rPr>
          <w:b/>
          <w:bCs/>
        </w:rPr>
      </w:pPr>
      <w:r w:rsidRPr="00D6532C">
        <w:rPr>
          <w:b/>
          <w:bCs/>
        </w:rPr>
        <w:t>§</w:t>
      </w:r>
      <w:r w:rsidR="0017158C">
        <w:rPr>
          <w:b/>
          <w:bCs/>
        </w:rPr>
        <w:t xml:space="preserve"> </w:t>
      </w:r>
      <w:r w:rsidRPr="00D6532C">
        <w:rPr>
          <w:b/>
          <w:bCs/>
        </w:rPr>
        <w:t>1</w:t>
      </w:r>
      <w:r w:rsidR="00707842">
        <w:rPr>
          <w:b/>
          <w:bCs/>
        </w:rPr>
        <w:t>0</w:t>
      </w:r>
      <w:r w:rsidR="0017158C">
        <w:rPr>
          <w:b/>
          <w:bCs/>
        </w:rPr>
        <w:t>.</w:t>
      </w:r>
      <w:r w:rsidRPr="00D6532C">
        <w:rPr>
          <w:b/>
          <w:bCs/>
        </w:rPr>
        <w:t xml:space="preserve"> Opsigelse af kvalifikationstillæg</w:t>
      </w:r>
    </w:p>
    <w:p w14:paraId="45570F24" w14:textId="0706AB8A" w:rsidR="00690675" w:rsidRDefault="00690675" w:rsidP="00690675">
      <w:r>
        <w:t xml:space="preserve">Stk. 1. </w:t>
      </w:r>
    </w:p>
    <w:p w14:paraId="7319B054" w14:textId="3C4A7B5E" w:rsidR="00690675" w:rsidRDefault="00690675" w:rsidP="00690675">
      <w:r>
        <w:t xml:space="preserve">Lokale aftaler om kvalifikationstillæg kan opsiges i overensstemmelse med den lokale aftale eller ændres ved enighed mellem aftalens parter. </w:t>
      </w:r>
    </w:p>
    <w:p w14:paraId="413795EB" w14:textId="40817200" w:rsidR="00690675" w:rsidRDefault="00690675" w:rsidP="00690675">
      <w:r>
        <w:tab/>
        <w:t>Bemærkning:</w:t>
      </w:r>
    </w:p>
    <w:p w14:paraId="1D7B2E07" w14:textId="75CECE9F" w:rsidR="00690675" w:rsidRDefault="005C340E" w:rsidP="005C340E">
      <w:pPr>
        <w:ind w:left="1304"/>
      </w:pPr>
      <w:r>
        <w:t>De ansatte omfattet af den hidtidige aftale vil i den situation beholde deres kvalifikationsbestemte tillæg som en personlig ordning, medmindre andet aftales</w:t>
      </w:r>
    </w:p>
    <w:p w14:paraId="5EECCA86" w14:textId="615355C7" w:rsidR="005C340E" w:rsidRDefault="005C340E" w:rsidP="005C340E">
      <w:r>
        <w:t xml:space="preserve">Stk. 2. </w:t>
      </w:r>
    </w:p>
    <w:p w14:paraId="2B519721" w14:textId="773812B5" w:rsidR="005C340E" w:rsidRDefault="005C340E" w:rsidP="005C340E">
      <w:r>
        <w:t xml:space="preserve">Lokale aftaler om kvalifikationstillæg for den enkelte ansatte kan ændres ved enighed mellem aftalens parter. </w:t>
      </w:r>
    </w:p>
    <w:p w14:paraId="62C6D549" w14:textId="0A57AB13" w:rsidR="005C340E" w:rsidRDefault="005C340E" w:rsidP="005C340E">
      <w:r>
        <w:tab/>
        <w:t>Bemærkning;</w:t>
      </w:r>
    </w:p>
    <w:p w14:paraId="2BC5B81A" w14:textId="20C5BD18" w:rsidR="005C340E" w:rsidRDefault="005C340E" w:rsidP="005C340E">
      <w:pPr>
        <w:ind w:left="1304"/>
      </w:pPr>
      <w:r>
        <w:t>Et eksempel kan være stillingsskift til andre arbejdsopgaver</w:t>
      </w:r>
      <w:r w:rsidR="00595742">
        <w:t>,</w:t>
      </w:r>
      <w:r>
        <w:t xml:space="preserve"> hvor den erhvervede kvalifikation ikke længere er relevant.</w:t>
      </w:r>
    </w:p>
    <w:p w14:paraId="17D85FF5" w14:textId="77777777" w:rsidR="00F4576D" w:rsidRDefault="00F4576D" w:rsidP="00FC29B4"/>
    <w:p w14:paraId="1352A308" w14:textId="5805DE76" w:rsidR="005C340E" w:rsidRPr="00D6532C" w:rsidRDefault="005C340E" w:rsidP="00FC29B4">
      <w:pPr>
        <w:rPr>
          <w:b/>
          <w:bCs/>
        </w:rPr>
      </w:pPr>
      <w:r w:rsidRPr="00D6532C">
        <w:rPr>
          <w:b/>
          <w:bCs/>
        </w:rPr>
        <w:t>§</w:t>
      </w:r>
      <w:r w:rsidR="00595742">
        <w:rPr>
          <w:b/>
          <w:bCs/>
        </w:rPr>
        <w:t xml:space="preserve"> </w:t>
      </w:r>
      <w:r w:rsidRPr="00D6532C">
        <w:rPr>
          <w:b/>
          <w:bCs/>
        </w:rPr>
        <w:t>1</w:t>
      </w:r>
      <w:r w:rsidR="00707842">
        <w:rPr>
          <w:b/>
          <w:bCs/>
        </w:rPr>
        <w:t>1</w:t>
      </w:r>
      <w:r w:rsidR="00595742">
        <w:rPr>
          <w:b/>
          <w:bCs/>
        </w:rPr>
        <w:t>.</w:t>
      </w:r>
      <w:r w:rsidRPr="00D6532C">
        <w:rPr>
          <w:b/>
          <w:bCs/>
        </w:rPr>
        <w:t xml:space="preserve"> Uenighed om fortolkning af procedureaftalen</w:t>
      </w:r>
    </w:p>
    <w:p w14:paraId="418D0922" w14:textId="18B6AAEA" w:rsidR="005C340E" w:rsidRDefault="005C340E" w:rsidP="00FC29B4">
      <w:r>
        <w:t xml:space="preserve">Uenighed om fortolkning af </w:t>
      </w:r>
      <w:r w:rsidR="00282FA3">
        <w:t xml:space="preserve">denne </w:t>
      </w:r>
      <w:r>
        <w:t xml:space="preserve">aftale behandles efter de almindelige regler for behandling af retstvister. Ved lokal uenighed om fortolkning af procedureaftalen rettes henvendelse til aftalens parter med henblik på drøftelse mellem </w:t>
      </w:r>
      <w:r w:rsidRPr="005C340E">
        <w:t>Forhandlingsfællesskabet for selvejende daginstitutioner i København</w:t>
      </w:r>
      <w:r>
        <w:t xml:space="preserve"> og BUPL Hovedstaden.</w:t>
      </w:r>
    </w:p>
    <w:p w14:paraId="2CEEA584" w14:textId="77777777" w:rsidR="005C340E" w:rsidRDefault="005C340E" w:rsidP="00FC29B4"/>
    <w:p w14:paraId="2C8BFA0F" w14:textId="132F8D90" w:rsidR="00F4576D" w:rsidRDefault="00AE23DB" w:rsidP="00FC29B4">
      <w:r w:rsidRPr="00B00E1B">
        <w:rPr>
          <w:b/>
          <w:bCs/>
        </w:rPr>
        <w:t>§</w:t>
      </w:r>
      <w:r w:rsidR="00282FA3">
        <w:rPr>
          <w:b/>
          <w:bCs/>
        </w:rPr>
        <w:t xml:space="preserve"> </w:t>
      </w:r>
      <w:r w:rsidRPr="00B00E1B">
        <w:rPr>
          <w:b/>
          <w:bCs/>
        </w:rPr>
        <w:t>1</w:t>
      </w:r>
      <w:r w:rsidR="00707842">
        <w:rPr>
          <w:b/>
          <w:bCs/>
        </w:rPr>
        <w:t>2</w:t>
      </w:r>
      <w:r w:rsidR="00282FA3">
        <w:rPr>
          <w:b/>
          <w:bCs/>
        </w:rPr>
        <w:t>.</w:t>
      </w:r>
      <w:r w:rsidRPr="00B00E1B">
        <w:rPr>
          <w:b/>
          <w:bCs/>
        </w:rPr>
        <w:t xml:space="preserve"> Lokal uenighed</w:t>
      </w:r>
    </w:p>
    <w:p w14:paraId="3E4939AB" w14:textId="50B8E511" w:rsidR="00D6532C" w:rsidRDefault="00D6532C" w:rsidP="00FC29B4">
      <w:r>
        <w:t>Stk. 1</w:t>
      </w:r>
      <w:r w:rsidR="00693135">
        <w:t>.</w:t>
      </w:r>
    </w:p>
    <w:p w14:paraId="40789294" w14:textId="15B9D42C" w:rsidR="00515A75" w:rsidRDefault="005E7E34" w:rsidP="00FC29B4">
      <w:r>
        <w:t>Forhandling varetages af bestyrelsen og BUPL Hovedstaden.</w:t>
      </w:r>
    </w:p>
    <w:p w14:paraId="57EA17AE" w14:textId="31A1D257" w:rsidR="005E7E34" w:rsidRPr="00D6532C" w:rsidRDefault="005E7E34" w:rsidP="00FC29B4">
      <w:r>
        <w:t>Hvis der ikke kan opnås enighed mellem bestyrelsen og BUPL Hovedstaden henvises til fremgangsmåden i fællesaftale om lokal løndannelse for pædagogisk område (09.06).</w:t>
      </w:r>
    </w:p>
    <w:p w14:paraId="685C8AA8" w14:textId="77777777" w:rsidR="0077600A" w:rsidRDefault="0077600A" w:rsidP="00FC29B4">
      <w:pPr>
        <w:rPr>
          <w:b/>
          <w:bCs/>
        </w:rPr>
      </w:pPr>
    </w:p>
    <w:p w14:paraId="506714E3" w14:textId="6E82F56D" w:rsidR="00F4576D" w:rsidRPr="00FC1681" w:rsidRDefault="00BD5DB2" w:rsidP="00FC29B4">
      <w:pPr>
        <w:rPr>
          <w:b/>
          <w:bCs/>
        </w:rPr>
      </w:pPr>
      <w:r w:rsidRPr="00FC1681">
        <w:rPr>
          <w:b/>
          <w:bCs/>
        </w:rPr>
        <w:t>§</w:t>
      </w:r>
      <w:r w:rsidR="00282FA3">
        <w:rPr>
          <w:b/>
          <w:bCs/>
        </w:rPr>
        <w:t xml:space="preserve"> </w:t>
      </w:r>
      <w:r w:rsidR="00FC1681" w:rsidRPr="00FC1681">
        <w:rPr>
          <w:b/>
          <w:bCs/>
        </w:rPr>
        <w:t>1</w:t>
      </w:r>
      <w:r w:rsidR="00707842">
        <w:rPr>
          <w:b/>
          <w:bCs/>
        </w:rPr>
        <w:t>3</w:t>
      </w:r>
      <w:r w:rsidR="00282FA3">
        <w:rPr>
          <w:b/>
          <w:bCs/>
        </w:rPr>
        <w:t>.</w:t>
      </w:r>
      <w:r w:rsidRPr="00FC1681">
        <w:rPr>
          <w:b/>
          <w:bCs/>
        </w:rPr>
        <w:t xml:space="preserve"> Dispensationsudvalg</w:t>
      </w:r>
      <w:r w:rsidR="00AD45F7">
        <w:rPr>
          <w:b/>
          <w:bCs/>
        </w:rPr>
        <w:t>ets sammensætning</w:t>
      </w:r>
    </w:p>
    <w:p w14:paraId="2A31DAE3" w14:textId="1E02D50F" w:rsidR="00BD5DB2" w:rsidRDefault="00BD5DB2" w:rsidP="00FC29B4">
      <w:r>
        <w:t>Stk. 1</w:t>
      </w:r>
    </w:p>
    <w:p w14:paraId="0F6C142E" w14:textId="4B26D45E" w:rsidR="00BD5DB2" w:rsidRPr="00AE23DB" w:rsidRDefault="00BD5DB2" w:rsidP="00BD5DB2">
      <w:r>
        <w:t>Dispensationsudvalget består af 3 repræsentanter fra paraplyerne/administrationsselskaberne</w:t>
      </w:r>
      <w:r w:rsidR="00EF0022">
        <w:t xml:space="preserve"> der</w:t>
      </w:r>
      <w:r>
        <w:t xml:space="preserve"> udpeges ad hoc af paraplyerne/administrationsselskaberne i forening. </w:t>
      </w:r>
    </w:p>
    <w:p w14:paraId="4EE2749C" w14:textId="027F02F7" w:rsidR="00BD5DB2" w:rsidRDefault="00BD5DB2" w:rsidP="00FC29B4">
      <w:r>
        <w:t>Stk. 2</w:t>
      </w:r>
    </w:p>
    <w:p w14:paraId="380C723C" w14:textId="4EDF87A4" w:rsidR="00BD5DB2" w:rsidRDefault="00BD5DB2" w:rsidP="00FC29B4">
      <w:r>
        <w:t xml:space="preserve">Der kan ikke udpeges en repræsentant fra </w:t>
      </w:r>
      <w:r w:rsidR="00EF0022">
        <w:t xml:space="preserve">det </w:t>
      </w:r>
      <w:r w:rsidR="00B60DD0">
        <w:t>den paraply/det administrationsselskab</w:t>
      </w:r>
      <w:r>
        <w:t>, hvis medlem</w:t>
      </w:r>
      <w:r w:rsidR="00EF0022">
        <w:t>/kunde</w:t>
      </w:r>
      <w:r>
        <w:t xml:space="preserve"> søger om dispensation</w:t>
      </w:r>
      <w:r w:rsidR="001E72A5">
        <w:t>en</w:t>
      </w:r>
      <w:r>
        <w:t xml:space="preserve">. </w:t>
      </w:r>
    </w:p>
    <w:p w14:paraId="16B49CC9" w14:textId="77777777" w:rsidR="00F4576D" w:rsidRDefault="00F4576D" w:rsidP="00FC29B4"/>
    <w:p w14:paraId="6777F5E8" w14:textId="0E7B0458" w:rsidR="00F4576D" w:rsidRPr="0077600A" w:rsidRDefault="0077600A" w:rsidP="00FC29B4">
      <w:pPr>
        <w:rPr>
          <w:b/>
          <w:bCs/>
        </w:rPr>
      </w:pPr>
      <w:r w:rsidRPr="0077600A">
        <w:rPr>
          <w:b/>
          <w:bCs/>
        </w:rPr>
        <w:t>§</w:t>
      </w:r>
      <w:r w:rsidR="00EF0022">
        <w:rPr>
          <w:b/>
          <w:bCs/>
        </w:rPr>
        <w:t xml:space="preserve"> </w:t>
      </w:r>
      <w:r w:rsidRPr="0077600A">
        <w:rPr>
          <w:b/>
          <w:bCs/>
        </w:rPr>
        <w:t>1</w:t>
      </w:r>
      <w:r w:rsidR="00707842">
        <w:rPr>
          <w:b/>
          <w:bCs/>
        </w:rPr>
        <w:t>4</w:t>
      </w:r>
      <w:r w:rsidR="00EF0022">
        <w:rPr>
          <w:b/>
          <w:bCs/>
        </w:rPr>
        <w:t>.</w:t>
      </w:r>
      <w:r w:rsidRPr="0077600A">
        <w:rPr>
          <w:b/>
          <w:bCs/>
        </w:rPr>
        <w:t xml:space="preserve"> </w:t>
      </w:r>
      <w:r>
        <w:rPr>
          <w:b/>
          <w:bCs/>
        </w:rPr>
        <w:t>Aftaler indgået i strid med parternes intentioner for denne</w:t>
      </w:r>
    </w:p>
    <w:p w14:paraId="71BD2204" w14:textId="5FD76A72" w:rsidR="0077600A" w:rsidRDefault="0077600A" w:rsidP="00FC29B4">
      <w:r>
        <w:t>Stk. 1.</w:t>
      </w:r>
    </w:p>
    <w:p w14:paraId="25F06DC7" w14:textId="28A58F1A" w:rsidR="00F4576D" w:rsidRDefault="0077600A" w:rsidP="00FC29B4">
      <w:r>
        <w:t xml:space="preserve">Hvis det af parterne konstateres, at der er sket fejl ved indgåelse af en lønaftale, er parterne enige om at genåbne forhandlingen med henblik på at rette op på fejlen. Anmodning om genoptagelse fremsættes af </w:t>
      </w:r>
      <w:r w:rsidR="00ED1088">
        <w:t>d</w:t>
      </w:r>
      <w:r>
        <w:t xml:space="preserve">en part der opdager fejlen. </w:t>
      </w:r>
    </w:p>
    <w:p w14:paraId="6BB810A6" w14:textId="7399121D" w:rsidR="00F4576D" w:rsidRDefault="0077600A" w:rsidP="00F31717">
      <w:pPr>
        <w:ind w:left="1304"/>
      </w:pPr>
      <w:r>
        <w:t>Bemærkning:</w:t>
      </w:r>
    </w:p>
    <w:p w14:paraId="34309EBD" w14:textId="6414A005" w:rsidR="0077600A" w:rsidRDefault="0077600A" w:rsidP="00F31717">
      <w:pPr>
        <w:ind w:left="1304"/>
      </w:pPr>
      <w:r>
        <w:t xml:space="preserve">Dette gælder såvel indgåelse af lønaftaler uden de rette tillæg i henhold til overenskomst og lokalaftaler såvel som aftaler om individuelle tillæg hvor det er klart at beløbet skyldes en fejl – </w:t>
      </w:r>
      <w:r w:rsidR="00EF0022">
        <w:t>f.eks.</w:t>
      </w:r>
      <w:r>
        <w:t xml:space="preserve"> ved tastefejl eller </w:t>
      </w:r>
      <w:r w:rsidR="00A21445">
        <w:t xml:space="preserve">misforståelser. </w:t>
      </w:r>
    </w:p>
    <w:p w14:paraId="20BF214D" w14:textId="77777777" w:rsidR="00DF7A88" w:rsidRDefault="00DF7A88" w:rsidP="00FC29B4"/>
    <w:p w14:paraId="26113FE8" w14:textId="77777777" w:rsidR="00135794" w:rsidRDefault="00135794" w:rsidP="00FC29B4"/>
    <w:p w14:paraId="6BE324AA" w14:textId="7773E593" w:rsidR="00DF7A88" w:rsidRPr="00FC1681" w:rsidRDefault="00DF7A88" w:rsidP="00DF7A88">
      <w:pPr>
        <w:rPr>
          <w:b/>
          <w:bCs/>
        </w:rPr>
      </w:pPr>
      <w:r w:rsidRPr="00FC1681">
        <w:rPr>
          <w:b/>
          <w:bCs/>
        </w:rPr>
        <w:t>§</w:t>
      </w:r>
      <w:r w:rsidR="00EF0022">
        <w:rPr>
          <w:b/>
          <w:bCs/>
        </w:rPr>
        <w:t xml:space="preserve"> </w:t>
      </w:r>
      <w:r w:rsidR="00FC1681" w:rsidRPr="00FC1681">
        <w:rPr>
          <w:b/>
          <w:bCs/>
        </w:rPr>
        <w:t>1</w:t>
      </w:r>
      <w:r w:rsidR="00707842">
        <w:rPr>
          <w:b/>
          <w:bCs/>
        </w:rPr>
        <w:t>5</w:t>
      </w:r>
      <w:r w:rsidR="00EF0022">
        <w:rPr>
          <w:b/>
          <w:bCs/>
        </w:rPr>
        <w:t>.</w:t>
      </w:r>
      <w:r w:rsidRPr="00FC1681">
        <w:rPr>
          <w:b/>
          <w:bCs/>
        </w:rPr>
        <w:t xml:space="preserve"> Ikrafttrædelses- og opsigelsesbestemmelser</w:t>
      </w:r>
    </w:p>
    <w:p w14:paraId="396FCDEC" w14:textId="1FE65982" w:rsidR="00DF7A88" w:rsidRDefault="00DF7A88" w:rsidP="00DF7A88">
      <w:r>
        <w:t>Stk. 1</w:t>
      </w:r>
      <w:r w:rsidR="00C161F0">
        <w:t>.</w:t>
      </w:r>
    </w:p>
    <w:p w14:paraId="6C0AE1CA" w14:textId="29F75770" w:rsidR="00DF7A88" w:rsidRPr="00DF7A88" w:rsidRDefault="00DF7A88" w:rsidP="00DF7A88">
      <w:pPr>
        <w:rPr>
          <w:color w:val="FF0000"/>
        </w:rPr>
      </w:pPr>
      <w:r>
        <w:t>Denne aftale har hvor intet andet er nævnt - virkning fra</w:t>
      </w:r>
      <w:r w:rsidR="00851ED5">
        <w:t xml:space="preserve"> 1. august 2025.</w:t>
      </w:r>
    </w:p>
    <w:p w14:paraId="2236E0DD" w14:textId="6304983B" w:rsidR="00DF7A88" w:rsidRDefault="00DF7A88" w:rsidP="00DF7A88">
      <w:r>
        <w:t>Stk. 2</w:t>
      </w:r>
      <w:r w:rsidR="00C161F0">
        <w:t>.</w:t>
      </w:r>
    </w:p>
    <w:p w14:paraId="00EBAB77" w14:textId="0A553B6E" w:rsidR="00DF7A88" w:rsidRDefault="00DF7A88" w:rsidP="00DF7A88">
      <w:r>
        <w:t>Aftalen kan af hver af parterne opsiges til bortfald med 3 måneders varsel</w:t>
      </w:r>
      <w:r w:rsidR="00C601FE">
        <w:t>.</w:t>
      </w:r>
    </w:p>
    <w:p w14:paraId="4798295C" w14:textId="77777777" w:rsidR="00DF7A88" w:rsidRDefault="00DF7A88" w:rsidP="00FC29B4"/>
    <w:p w14:paraId="72047D88" w14:textId="20184D8C" w:rsidR="00DF7A88" w:rsidRPr="00B64503" w:rsidRDefault="00DF7A88" w:rsidP="00DF7A88">
      <w:pPr>
        <w:spacing w:after="904" w:line="240" w:lineRule="auto"/>
        <w:rPr>
          <w:rFonts w:ascii="Quatro Slab" w:eastAsia="Times New Roman" w:hAnsi="Quatro Slab" w:cs="Times New Roman"/>
          <w:sz w:val="24"/>
        </w:rPr>
      </w:pPr>
      <w:r w:rsidRPr="00B64503">
        <w:rPr>
          <w:rFonts w:ascii="Quatro Slab" w:eastAsia="Times New Roman" w:hAnsi="Quatro Slab" w:cs="Times New Roman"/>
          <w:sz w:val="24"/>
        </w:rPr>
        <w:lastRenderedPageBreak/>
        <w:t>København d.</w:t>
      </w:r>
      <w:r w:rsidR="00851ED5">
        <w:rPr>
          <w:rFonts w:ascii="Quatro Slab" w:eastAsia="Times New Roman" w:hAnsi="Quatro Slab" w:cs="Times New Roman"/>
          <w:sz w:val="24"/>
        </w:rPr>
        <w:t xml:space="preserve"> 1</w:t>
      </w:r>
      <w:r w:rsidR="005D780B">
        <w:rPr>
          <w:rFonts w:ascii="Quatro Slab" w:eastAsia="Times New Roman" w:hAnsi="Quatro Slab" w:cs="Times New Roman"/>
          <w:sz w:val="24"/>
        </w:rPr>
        <w:t>7</w:t>
      </w:r>
      <w:r w:rsidR="00851ED5">
        <w:rPr>
          <w:rFonts w:ascii="Quatro Slab" w:eastAsia="Times New Roman" w:hAnsi="Quatro Slab" w:cs="Times New Roman"/>
          <w:sz w:val="24"/>
        </w:rPr>
        <w:t>. juni 2025</w:t>
      </w:r>
    </w:p>
    <w:p w14:paraId="3150C943" w14:textId="62737A9D" w:rsidR="00DF7A88" w:rsidRPr="00B64503" w:rsidRDefault="00DF7A88" w:rsidP="00DF7A88">
      <w:pPr>
        <w:tabs>
          <w:tab w:val="left" w:pos="5276"/>
        </w:tabs>
        <w:spacing w:after="904" w:line="240" w:lineRule="auto"/>
        <w:ind w:hanging="10"/>
        <w:rPr>
          <w:rFonts w:ascii="Quatro Slab" w:eastAsia="Times New Roman" w:hAnsi="Quatro Slab" w:cs="Times New Roman"/>
          <w:sz w:val="24"/>
        </w:rPr>
      </w:pPr>
      <w:r w:rsidRPr="00B64503">
        <w:rPr>
          <w:rFonts w:ascii="Quatro Slab" w:eastAsia="Times New Roman" w:hAnsi="Quatro Slab" w:cs="Times New Roman"/>
          <w:noProof/>
          <w:sz w:val="24"/>
        </w:rPr>
        <mc:AlternateContent>
          <mc:Choice Requires="wps">
            <w:drawing>
              <wp:anchor distT="45720" distB="45720" distL="114300" distR="114300" simplePos="0" relativeHeight="251659264" behindDoc="0" locked="0" layoutInCell="1" allowOverlap="1" wp14:anchorId="13C62DEA" wp14:editId="5EADE124">
                <wp:simplePos x="0" y="0"/>
                <wp:positionH relativeFrom="column">
                  <wp:posOffset>3155950</wp:posOffset>
                </wp:positionH>
                <wp:positionV relativeFrom="paragraph">
                  <wp:posOffset>9525</wp:posOffset>
                </wp:positionV>
                <wp:extent cx="2845558" cy="1404620"/>
                <wp:effectExtent l="0" t="0" r="12065" b="1587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558" cy="1404620"/>
                        </a:xfrm>
                        <a:prstGeom prst="rect">
                          <a:avLst/>
                        </a:prstGeom>
                        <a:solidFill>
                          <a:srgbClr val="FFFFFF"/>
                        </a:solidFill>
                        <a:ln w="9525">
                          <a:noFill/>
                          <a:miter lim="800000"/>
                          <a:headEnd/>
                          <a:tailEnd/>
                        </a:ln>
                      </wps:spPr>
                      <wps:txbx>
                        <w:txbxContent>
                          <w:p w14:paraId="7816751E" w14:textId="77777777" w:rsidR="00135794" w:rsidRDefault="00135794" w:rsidP="00DF7A88">
                            <w:pPr>
                              <w:rPr>
                                <w:rFonts w:ascii="Quatro Slab" w:hAnsi="Quatro Slab"/>
                              </w:rPr>
                            </w:pPr>
                            <w:r>
                              <w:rPr>
                                <w:rFonts w:ascii="Quatro Slab" w:eastAsia="Times New Roman" w:hAnsi="Quatro Slab" w:cs="Times New Roman"/>
                                <w:sz w:val="24"/>
                              </w:rPr>
                              <w:t>____________________________</w:t>
                            </w:r>
                            <w:r w:rsidR="00DF7A88" w:rsidRPr="009D1334">
                              <w:rPr>
                                <w:rFonts w:ascii="Quatro Slab" w:hAnsi="Quatro Slab"/>
                              </w:rPr>
                              <w:t xml:space="preserve"> </w:t>
                            </w:r>
                          </w:p>
                          <w:p w14:paraId="61F54027" w14:textId="196CA584" w:rsidR="00DF7A88" w:rsidRPr="009D1334" w:rsidRDefault="00135794" w:rsidP="00DF7A88">
                            <w:pPr>
                              <w:rPr>
                                <w:rFonts w:ascii="Quatro Slab" w:hAnsi="Quatro Slab"/>
                              </w:rPr>
                            </w:pPr>
                            <w:r>
                              <w:rPr>
                                <w:rFonts w:ascii="Quatro Slab" w:hAnsi="Quatro Slab"/>
                              </w:rPr>
                              <w:t xml:space="preserve">BUPL </w:t>
                            </w:r>
                            <w:r w:rsidR="00DF7A88" w:rsidRPr="009D1334">
                              <w:rPr>
                                <w:rFonts w:ascii="Quatro Slab" w:hAnsi="Quatro Slab"/>
                              </w:rPr>
                              <w:t>Hovedstaden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C62DEA" id="_x0000_t202" coordsize="21600,21600" o:spt="202" path="m,l,21600r21600,l21600,xe">
                <v:stroke joinstyle="miter"/>
                <v:path gradientshapeok="t" o:connecttype="rect"/>
              </v:shapetype>
              <v:shape id="Tekstfelt 2" o:spid="_x0000_s1026" type="#_x0000_t202" style="position:absolute;margin-left:248.5pt;margin-top:.75pt;width:224.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" stroked="f">
                <v:textbox style="mso-fit-shape-to-text:t">
                  <w:txbxContent>
                    <w:p w14:paraId="7816751E" w14:textId="77777777" w:rsidR="00135794" w:rsidRDefault="00135794" w:rsidP="00DF7A88">
                      <w:pPr>
                        <w:rPr>
                          <w:rFonts w:ascii="Quatro Slab" w:hAnsi="Quatro Slab"/>
                        </w:rPr>
                      </w:pPr>
                      <w:r>
                        <w:rPr>
                          <w:rFonts w:ascii="Quatro Slab" w:eastAsia="Times New Roman" w:hAnsi="Quatro Slab" w:cs="Times New Roman"/>
                          <w:sz w:val="24"/>
                        </w:rPr>
                        <w:t>____________________________</w:t>
                      </w:r>
                      <w:r w:rsidR="00DF7A88" w:rsidRPr="009D1334">
                        <w:rPr>
                          <w:rFonts w:ascii="Quatro Slab" w:hAnsi="Quatro Slab"/>
                        </w:rPr>
                        <w:t xml:space="preserve"> </w:t>
                      </w:r>
                    </w:p>
                    <w:p w14:paraId="61F54027" w14:textId="196CA584" w:rsidR="00DF7A88" w:rsidRPr="009D1334" w:rsidRDefault="00135794" w:rsidP="00DF7A88">
                      <w:pPr>
                        <w:rPr>
                          <w:rFonts w:ascii="Quatro Slab" w:hAnsi="Quatro Slab"/>
                        </w:rPr>
                      </w:pPr>
                      <w:r>
                        <w:rPr>
                          <w:rFonts w:ascii="Quatro Slab" w:hAnsi="Quatro Slab"/>
                        </w:rPr>
                        <w:t xml:space="preserve">BUPL </w:t>
                      </w:r>
                      <w:r w:rsidR="00DF7A88" w:rsidRPr="009D1334">
                        <w:rPr>
                          <w:rFonts w:ascii="Quatro Slab" w:hAnsi="Quatro Slab"/>
                        </w:rPr>
                        <w:t>Hovedstaden</w:t>
                      </w:r>
                    </w:p>
                  </w:txbxContent>
                </v:textbox>
              </v:shape>
            </w:pict>
          </mc:Fallback>
        </mc:AlternateContent>
      </w:r>
      <w:r w:rsidR="00135794">
        <w:rPr>
          <w:rFonts w:ascii="Quatro Slab" w:eastAsia="Times New Roman" w:hAnsi="Quatro Slab" w:cs="Times New Roman"/>
          <w:sz w:val="24"/>
        </w:rPr>
        <w:t>____________________________</w:t>
      </w:r>
      <w:r w:rsidR="00135794" w:rsidRPr="00B64503">
        <w:rPr>
          <w:rFonts w:ascii="Quatro Slab" w:eastAsia="Times New Roman" w:hAnsi="Quatro Slab" w:cs="Times New Roman"/>
          <w:sz w:val="24"/>
        </w:rPr>
        <w:t xml:space="preserve"> </w:t>
      </w:r>
      <w:r w:rsidRPr="00B64503">
        <w:rPr>
          <w:rFonts w:ascii="Quatro Slab" w:eastAsia="Times New Roman" w:hAnsi="Quatro Slab" w:cs="Times New Roman"/>
          <w:sz w:val="24"/>
        </w:rPr>
        <w:br/>
        <w:t>FOBU</w:t>
      </w:r>
    </w:p>
    <w:p w14:paraId="0345D6C0" w14:textId="48B90E1E" w:rsidR="00DF7A88" w:rsidRPr="00776E36" w:rsidRDefault="00135794" w:rsidP="00DF7A88">
      <w:pPr>
        <w:spacing w:after="904" w:line="240" w:lineRule="auto"/>
        <w:ind w:left="-10"/>
        <w:rPr>
          <w:rFonts w:ascii="Quatro Slab" w:eastAsia="Times New Roman" w:hAnsi="Quatro Slab" w:cs="Times New Roman"/>
          <w:sz w:val="24"/>
          <w:lang w:val="de-DE"/>
        </w:rPr>
      </w:pPr>
      <w:r>
        <w:rPr>
          <w:rFonts w:ascii="Quatro Slab" w:eastAsia="Times New Roman" w:hAnsi="Quatro Slab" w:cs="Times New Roman"/>
          <w:sz w:val="24"/>
        </w:rPr>
        <w:t>____________________________</w:t>
      </w:r>
      <w:r w:rsidR="00DF7A88" w:rsidRPr="00776E36">
        <w:rPr>
          <w:rFonts w:ascii="Quatro Slab" w:eastAsia="Times New Roman" w:hAnsi="Quatro Slab" w:cs="Times New Roman"/>
          <w:sz w:val="24"/>
          <w:lang w:val="de-DE"/>
        </w:rPr>
        <w:br/>
        <w:t>SPIA</w:t>
      </w:r>
      <w:r w:rsidR="00DF7A88" w:rsidRPr="00776E36">
        <w:rPr>
          <w:rFonts w:ascii="Quatro Slab" w:eastAsia="Times New Roman" w:hAnsi="Quatro Slab" w:cs="Times New Roman"/>
          <w:sz w:val="24"/>
          <w:lang w:val="de-DE"/>
        </w:rPr>
        <w:tab/>
      </w:r>
    </w:p>
    <w:p w14:paraId="294C3B33" w14:textId="30A35DC1" w:rsidR="00DF7A88" w:rsidRPr="00776E36" w:rsidRDefault="00135794" w:rsidP="00DF7A88">
      <w:pPr>
        <w:spacing w:after="904" w:line="240" w:lineRule="auto"/>
        <w:ind w:hanging="10"/>
        <w:rPr>
          <w:rFonts w:ascii="Quatro Slab" w:eastAsia="Times New Roman" w:hAnsi="Quatro Slab" w:cs="Times New Roman"/>
          <w:sz w:val="24"/>
          <w:lang w:val="de-DE"/>
        </w:rPr>
      </w:pPr>
      <w:r>
        <w:rPr>
          <w:rFonts w:ascii="Quatro Slab" w:eastAsia="Times New Roman" w:hAnsi="Quatro Slab" w:cs="Times New Roman"/>
          <w:sz w:val="24"/>
        </w:rPr>
        <w:t>____________________________</w:t>
      </w:r>
      <w:r w:rsidR="00DF7A88" w:rsidRPr="00776E36">
        <w:rPr>
          <w:rFonts w:ascii="Quatro Slab" w:eastAsia="Times New Roman" w:hAnsi="Quatro Slab" w:cs="Times New Roman"/>
          <w:sz w:val="24"/>
          <w:lang w:val="de-DE"/>
        </w:rPr>
        <w:br/>
      </w:r>
      <w:proofErr w:type="spellStart"/>
      <w:r w:rsidR="00DF7A88" w:rsidRPr="00776E36">
        <w:rPr>
          <w:rFonts w:ascii="Quatro Slab" w:eastAsia="Times New Roman" w:hAnsi="Quatro Slab" w:cs="Times New Roman"/>
          <w:sz w:val="24"/>
          <w:lang w:val="de-DE"/>
        </w:rPr>
        <w:t>Børneringen</w:t>
      </w:r>
      <w:proofErr w:type="spellEnd"/>
    </w:p>
    <w:p w14:paraId="3F5B9F99" w14:textId="77777777" w:rsidR="00135794" w:rsidRDefault="00135794">
      <w:r w:rsidRPr="005D780B">
        <w:rPr>
          <w:rFonts w:ascii="Quatro Slab" w:eastAsia="Times New Roman" w:hAnsi="Quatro Slab" w:cs="Times New Roman"/>
          <w:sz w:val="24"/>
        </w:rPr>
        <w:t>____________________________</w:t>
      </w:r>
    </w:p>
    <w:p w14:paraId="6C87D6E3" w14:textId="4E3416CD" w:rsidR="00DF7A88" w:rsidRPr="005D780B" w:rsidRDefault="00135794" w:rsidP="00DF7A88">
      <w:pPr>
        <w:spacing w:after="904" w:line="240" w:lineRule="auto"/>
        <w:ind w:hanging="10"/>
        <w:rPr>
          <w:rFonts w:ascii="Quatro Slab" w:eastAsia="Times New Roman" w:hAnsi="Quatro Slab" w:cs="Times New Roman"/>
          <w:sz w:val="24"/>
        </w:rPr>
      </w:pPr>
      <w:r w:rsidRPr="005D780B">
        <w:rPr>
          <w:rFonts w:ascii="Quatro Slab" w:eastAsia="Times New Roman" w:hAnsi="Quatro Slab" w:cs="Times New Roman"/>
          <w:sz w:val="24"/>
        </w:rPr>
        <w:t>Børnevennerne</w:t>
      </w:r>
      <w:r w:rsidR="00DF7A88" w:rsidRPr="005D780B">
        <w:rPr>
          <w:rFonts w:ascii="Quatro Slab" w:eastAsia="Times New Roman" w:hAnsi="Quatro Slab" w:cs="Times New Roman"/>
          <w:sz w:val="24"/>
        </w:rPr>
        <w:tab/>
      </w:r>
    </w:p>
    <w:p w14:paraId="0F211F71" w14:textId="77777777" w:rsidR="00135794" w:rsidRDefault="00135794">
      <w:r>
        <w:rPr>
          <w:rFonts w:ascii="Quatro Slab" w:eastAsia="Times New Roman" w:hAnsi="Quatro Slab" w:cs="Times New Roman"/>
          <w:sz w:val="24"/>
        </w:rPr>
        <w:t>____________________________</w:t>
      </w:r>
    </w:p>
    <w:p w14:paraId="324BBE9F" w14:textId="5AF8A00E" w:rsidR="00DF7A88" w:rsidRPr="00B64503" w:rsidRDefault="00DF7A88" w:rsidP="00DF7A88">
      <w:pPr>
        <w:spacing w:after="904" w:line="240" w:lineRule="auto"/>
        <w:ind w:hanging="10"/>
        <w:rPr>
          <w:rFonts w:ascii="Quatro Slab" w:eastAsia="Times New Roman" w:hAnsi="Quatro Slab" w:cs="Times New Roman"/>
          <w:sz w:val="24"/>
        </w:rPr>
      </w:pPr>
      <w:r w:rsidRPr="00B64503">
        <w:rPr>
          <w:rFonts w:ascii="Quatro Slab" w:eastAsia="Times New Roman" w:hAnsi="Quatro Slab" w:cs="Times New Roman"/>
          <w:sz w:val="24"/>
        </w:rPr>
        <w:t>Lands</w:t>
      </w:r>
      <w:r>
        <w:rPr>
          <w:rFonts w:ascii="Quatro Slab" w:eastAsia="Times New Roman" w:hAnsi="Quatro Slab" w:cs="Times New Roman"/>
          <w:sz w:val="24"/>
        </w:rPr>
        <w:t>organisationen</w:t>
      </w:r>
      <w:r w:rsidRPr="00B64503">
        <w:rPr>
          <w:rFonts w:ascii="Quatro Slab" w:eastAsia="Times New Roman" w:hAnsi="Quatro Slab" w:cs="Times New Roman"/>
          <w:sz w:val="24"/>
        </w:rPr>
        <w:t xml:space="preserve"> Danske Daginstitutioner</w:t>
      </w:r>
      <w:r w:rsidRPr="00B64503">
        <w:rPr>
          <w:rFonts w:ascii="Quatro Slab" w:eastAsia="Times New Roman" w:hAnsi="Quatro Slab" w:cs="Times New Roman"/>
          <w:sz w:val="24"/>
        </w:rPr>
        <w:tab/>
      </w:r>
    </w:p>
    <w:p w14:paraId="1EDCB2DB" w14:textId="5F63AE3A" w:rsidR="00DF7A88" w:rsidRDefault="00135794" w:rsidP="00DF7A88">
      <w:pPr>
        <w:spacing w:after="904" w:line="240" w:lineRule="auto"/>
        <w:ind w:hanging="10"/>
        <w:rPr>
          <w:rFonts w:ascii="Quatro Slab" w:eastAsia="Times New Roman" w:hAnsi="Quatro Slab" w:cs="Times New Roman"/>
          <w:sz w:val="24"/>
        </w:rPr>
      </w:pPr>
      <w:r>
        <w:rPr>
          <w:rFonts w:ascii="Quatro Slab" w:eastAsia="Times New Roman" w:hAnsi="Quatro Slab" w:cs="Times New Roman"/>
          <w:sz w:val="24"/>
        </w:rPr>
        <w:t>____________________________</w:t>
      </w:r>
      <w:r w:rsidR="00DF7A88" w:rsidRPr="00B64503">
        <w:rPr>
          <w:rFonts w:ascii="Quatro Slab" w:eastAsia="Times New Roman" w:hAnsi="Quatro Slab" w:cs="Times New Roman"/>
          <w:sz w:val="24"/>
        </w:rPr>
        <w:br/>
        <w:t>Accountor</w:t>
      </w:r>
      <w:r w:rsidR="00DF7A88">
        <w:rPr>
          <w:rFonts w:ascii="Quatro Slab" w:eastAsia="Times New Roman" w:hAnsi="Quatro Slab" w:cs="Times New Roman"/>
          <w:sz w:val="24"/>
        </w:rPr>
        <w:t xml:space="preserve"> </w:t>
      </w:r>
    </w:p>
    <w:p w14:paraId="0118CB30" w14:textId="77777777" w:rsidR="00135794" w:rsidRPr="00786C5C" w:rsidRDefault="00135794" w:rsidP="00DF7A88">
      <w:pPr>
        <w:spacing w:after="904" w:line="240" w:lineRule="auto"/>
        <w:ind w:hanging="10"/>
        <w:rPr>
          <w:rFonts w:ascii="Quatro Slab" w:eastAsia="Times New Roman" w:hAnsi="Quatro Slab" w:cs="Times New Roman"/>
          <w:sz w:val="24"/>
        </w:rPr>
      </w:pPr>
    </w:p>
    <w:sectPr w:rsidR="00135794" w:rsidRPr="00786C5C">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2CFA" w14:textId="77777777" w:rsidR="00334EE7" w:rsidRDefault="00334EE7" w:rsidP="004717C3">
      <w:pPr>
        <w:spacing w:after="0" w:line="240" w:lineRule="auto"/>
      </w:pPr>
      <w:r>
        <w:separator/>
      </w:r>
    </w:p>
  </w:endnote>
  <w:endnote w:type="continuationSeparator" w:id="0">
    <w:p w14:paraId="13F2F4EA" w14:textId="77777777" w:rsidR="00334EE7" w:rsidRDefault="00334EE7" w:rsidP="0047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Quatro Slab">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105846"/>
      <w:docPartObj>
        <w:docPartGallery w:val="Page Numbers (Bottom of Page)"/>
        <w:docPartUnique/>
      </w:docPartObj>
    </w:sdtPr>
    <w:sdtContent>
      <w:sdt>
        <w:sdtPr>
          <w:id w:val="-1705238520"/>
          <w:docPartObj>
            <w:docPartGallery w:val="Page Numbers (Top of Page)"/>
            <w:docPartUnique/>
          </w:docPartObj>
        </w:sdtPr>
        <w:sdtContent>
          <w:p w14:paraId="69A436F2" w14:textId="41EFE0AF" w:rsidR="004717C3" w:rsidRDefault="004717C3" w:rsidP="004717C3">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2F6FE83" w14:textId="77777777" w:rsidR="004717C3" w:rsidRDefault="004717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5155" w14:textId="77777777" w:rsidR="00334EE7" w:rsidRDefault="00334EE7" w:rsidP="004717C3">
      <w:pPr>
        <w:spacing w:after="0" w:line="240" w:lineRule="auto"/>
      </w:pPr>
      <w:r>
        <w:separator/>
      </w:r>
    </w:p>
  </w:footnote>
  <w:footnote w:type="continuationSeparator" w:id="0">
    <w:p w14:paraId="29583C4B" w14:textId="77777777" w:rsidR="00334EE7" w:rsidRDefault="00334EE7" w:rsidP="00471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637A" w14:textId="10BE02E3" w:rsidR="004717C3" w:rsidRDefault="00062286" w:rsidP="004717C3">
    <w:pPr>
      <w:pStyle w:val="Sidehoved"/>
      <w:jc w:val="right"/>
    </w:pPr>
    <w:r>
      <w:t>Juni</w:t>
    </w:r>
    <w:r w:rsidR="004717C3">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06B64"/>
    <w:multiLevelType w:val="hybridMultilevel"/>
    <w:tmpl w:val="0DB40E50"/>
    <w:lvl w:ilvl="0" w:tplc="FC9A3204">
      <w:numFmt w:val="bullet"/>
      <w:lvlText w:val="-"/>
      <w:lvlJc w:val="left"/>
      <w:pPr>
        <w:ind w:left="1665" w:hanging="360"/>
      </w:pPr>
      <w:rPr>
        <w:rFonts w:ascii="Aptos" w:eastAsiaTheme="minorHAnsi" w:hAnsi="Aptos" w:cstheme="minorBidi"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 w15:restartNumberingAfterBreak="0">
    <w:nsid w:val="328A0D93"/>
    <w:multiLevelType w:val="hybridMultilevel"/>
    <w:tmpl w:val="78FCFA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61640842">
    <w:abstractNumId w:val="1"/>
  </w:num>
  <w:num w:numId="2" w16cid:durableId="76121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0A"/>
    <w:rsid w:val="00007949"/>
    <w:rsid w:val="00032145"/>
    <w:rsid w:val="0005428D"/>
    <w:rsid w:val="00062286"/>
    <w:rsid w:val="00067BB8"/>
    <w:rsid w:val="000E10D2"/>
    <w:rsid w:val="000E1748"/>
    <w:rsid w:val="00106B83"/>
    <w:rsid w:val="00121C33"/>
    <w:rsid w:val="00135794"/>
    <w:rsid w:val="001403B2"/>
    <w:rsid w:val="00163BFD"/>
    <w:rsid w:val="0017158C"/>
    <w:rsid w:val="001A7141"/>
    <w:rsid w:val="001B356E"/>
    <w:rsid w:val="001E72A5"/>
    <w:rsid w:val="001F0026"/>
    <w:rsid w:val="00230C0A"/>
    <w:rsid w:val="002508A2"/>
    <w:rsid w:val="00275F34"/>
    <w:rsid w:val="00282FA3"/>
    <w:rsid w:val="002B6A24"/>
    <w:rsid w:val="002C21DD"/>
    <w:rsid w:val="002E057E"/>
    <w:rsid w:val="002F73ED"/>
    <w:rsid w:val="00313C07"/>
    <w:rsid w:val="00334D16"/>
    <w:rsid w:val="00334EE7"/>
    <w:rsid w:val="00354F47"/>
    <w:rsid w:val="003D424C"/>
    <w:rsid w:val="004717C3"/>
    <w:rsid w:val="00495078"/>
    <w:rsid w:val="004B6C4F"/>
    <w:rsid w:val="004D592D"/>
    <w:rsid w:val="004E4133"/>
    <w:rsid w:val="00501D5D"/>
    <w:rsid w:val="005123FF"/>
    <w:rsid w:val="00515A75"/>
    <w:rsid w:val="005271B4"/>
    <w:rsid w:val="00565C70"/>
    <w:rsid w:val="005810F1"/>
    <w:rsid w:val="00595742"/>
    <w:rsid w:val="005C340E"/>
    <w:rsid w:val="005D0ED9"/>
    <w:rsid w:val="005D780B"/>
    <w:rsid w:val="005E7E34"/>
    <w:rsid w:val="006179B1"/>
    <w:rsid w:val="006712C8"/>
    <w:rsid w:val="00673407"/>
    <w:rsid w:val="0068146A"/>
    <w:rsid w:val="00690675"/>
    <w:rsid w:val="00693135"/>
    <w:rsid w:val="006A1F9E"/>
    <w:rsid w:val="006A2D16"/>
    <w:rsid w:val="00707842"/>
    <w:rsid w:val="00711581"/>
    <w:rsid w:val="00727B70"/>
    <w:rsid w:val="0077600A"/>
    <w:rsid w:val="00777AB8"/>
    <w:rsid w:val="007A4A51"/>
    <w:rsid w:val="007C2089"/>
    <w:rsid w:val="00802C57"/>
    <w:rsid w:val="008329B6"/>
    <w:rsid w:val="008353E7"/>
    <w:rsid w:val="00841797"/>
    <w:rsid w:val="00851ED5"/>
    <w:rsid w:val="00873217"/>
    <w:rsid w:val="00877D99"/>
    <w:rsid w:val="008C1FB0"/>
    <w:rsid w:val="008C72C1"/>
    <w:rsid w:val="009429CA"/>
    <w:rsid w:val="00950301"/>
    <w:rsid w:val="009B5789"/>
    <w:rsid w:val="009D29DC"/>
    <w:rsid w:val="00A21445"/>
    <w:rsid w:val="00AD45F7"/>
    <w:rsid w:val="00AE23DB"/>
    <w:rsid w:val="00B00E1B"/>
    <w:rsid w:val="00B04182"/>
    <w:rsid w:val="00B4480F"/>
    <w:rsid w:val="00B60DD0"/>
    <w:rsid w:val="00BC0DA6"/>
    <w:rsid w:val="00BC4F4A"/>
    <w:rsid w:val="00BD5DB2"/>
    <w:rsid w:val="00BF7F58"/>
    <w:rsid w:val="00C161F0"/>
    <w:rsid w:val="00C24229"/>
    <w:rsid w:val="00C45633"/>
    <w:rsid w:val="00C601FE"/>
    <w:rsid w:val="00C965FA"/>
    <w:rsid w:val="00CB17B5"/>
    <w:rsid w:val="00CF328E"/>
    <w:rsid w:val="00D37329"/>
    <w:rsid w:val="00D50718"/>
    <w:rsid w:val="00D62ADC"/>
    <w:rsid w:val="00D6532C"/>
    <w:rsid w:val="00DC76A3"/>
    <w:rsid w:val="00DD6529"/>
    <w:rsid w:val="00DF7A88"/>
    <w:rsid w:val="00E515EE"/>
    <w:rsid w:val="00E8797E"/>
    <w:rsid w:val="00ED1088"/>
    <w:rsid w:val="00ED1980"/>
    <w:rsid w:val="00ED24BD"/>
    <w:rsid w:val="00ED78B0"/>
    <w:rsid w:val="00EF0022"/>
    <w:rsid w:val="00EF5726"/>
    <w:rsid w:val="00F021D5"/>
    <w:rsid w:val="00F31717"/>
    <w:rsid w:val="00F4576D"/>
    <w:rsid w:val="00F46569"/>
    <w:rsid w:val="00FC1681"/>
    <w:rsid w:val="00FC29B4"/>
    <w:rsid w:val="00FD0DFB"/>
    <w:rsid w:val="00FD3D35"/>
    <w:rsid w:val="00FF46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E000"/>
  <w15:chartTrackingRefBased/>
  <w15:docId w15:val="{D4E74071-F4BC-497A-AC60-4A765EE1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30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30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30C0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30C0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30C0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30C0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30C0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30C0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30C0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0C0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30C0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30C0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30C0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30C0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30C0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30C0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30C0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30C0A"/>
    <w:rPr>
      <w:rFonts w:eastAsiaTheme="majorEastAsia" w:cstheme="majorBidi"/>
      <w:color w:val="272727" w:themeColor="text1" w:themeTint="D8"/>
    </w:rPr>
  </w:style>
  <w:style w:type="paragraph" w:styleId="Titel">
    <w:name w:val="Title"/>
    <w:basedOn w:val="Normal"/>
    <w:next w:val="Normal"/>
    <w:link w:val="TitelTegn"/>
    <w:uiPriority w:val="10"/>
    <w:qFormat/>
    <w:rsid w:val="00230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30C0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30C0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30C0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30C0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30C0A"/>
    <w:rPr>
      <w:i/>
      <w:iCs/>
      <w:color w:val="404040" w:themeColor="text1" w:themeTint="BF"/>
    </w:rPr>
  </w:style>
  <w:style w:type="paragraph" w:styleId="Listeafsnit">
    <w:name w:val="List Paragraph"/>
    <w:basedOn w:val="Normal"/>
    <w:uiPriority w:val="34"/>
    <w:qFormat/>
    <w:rsid w:val="00230C0A"/>
    <w:pPr>
      <w:ind w:left="720"/>
      <w:contextualSpacing/>
    </w:pPr>
  </w:style>
  <w:style w:type="character" w:styleId="Kraftigfremhvning">
    <w:name w:val="Intense Emphasis"/>
    <w:basedOn w:val="Standardskrifttypeiafsnit"/>
    <w:uiPriority w:val="21"/>
    <w:qFormat/>
    <w:rsid w:val="00230C0A"/>
    <w:rPr>
      <w:i/>
      <w:iCs/>
      <w:color w:val="0F4761" w:themeColor="accent1" w:themeShade="BF"/>
    </w:rPr>
  </w:style>
  <w:style w:type="paragraph" w:styleId="Strktcitat">
    <w:name w:val="Intense Quote"/>
    <w:basedOn w:val="Normal"/>
    <w:next w:val="Normal"/>
    <w:link w:val="StrktcitatTegn"/>
    <w:uiPriority w:val="30"/>
    <w:qFormat/>
    <w:rsid w:val="00230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30C0A"/>
    <w:rPr>
      <w:i/>
      <w:iCs/>
      <w:color w:val="0F4761" w:themeColor="accent1" w:themeShade="BF"/>
    </w:rPr>
  </w:style>
  <w:style w:type="character" w:styleId="Kraftighenvisning">
    <w:name w:val="Intense Reference"/>
    <w:basedOn w:val="Standardskrifttypeiafsnit"/>
    <w:uiPriority w:val="32"/>
    <w:qFormat/>
    <w:rsid w:val="00230C0A"/>
    <w:rPr>
      <w:b/>
      <w:bCs/>
      <w:smallCaps/>
      <w:color w:val="0F4761" w:themeColor="accent1" w:themeShade="BF"/>
      <w:spacing w:val="5"/>
    </w:rPr>
  </w:style>
  <w:style w:type="paragraph" w:styleId="Sidehoved">
    <w:name w:val="header"/>
    <w:basedOn w:val="Normal"/>
    <w:link w:val="SidehovedTegn"/>
    <w:uiPriority w:val="99"/>
    <w:unhideWhenUsed/>
    <w:rsid w:val="004717C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717C3"/>
  </w:style>
  <w:style w:type="paragraph" w:styleId="Sidefod">
    <w:name w:val="footer"/>
    <w:basedOn w:val="Normal"/>
    <w:link w:val="SidefodTegn"/>
    <w:uiPriority w:val="99"/>
    <w:unhideWhenUsed/>
    <w:rsid w:val="004717C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717C3"/>
  </w:style>
  <w:style w:type="table" w:styleId="Tabel-Gitter">
    <w:name w:val="Table Grid"/>
    <w:basedOn w:val="Tabel-Normal"/>
    <w:uiPriority w:val="39"/>
    <w:rsid w:val="00AE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106B83"/>
    <w:pPr>
      <w:spacing w:after="0" w:line="240" w:lineRule="auto"/>
    </w:pPr>
  </w:style>
  <w:style w:type="character" w:styleId="Kommentarhenvisning">
    <w:name w:val="annotation reference"/>
    <w:basedOn w:val="Standardskrifttypeiafsnit"/>
    <w:uiPriority w:val="99"/>
    <w:semiHidden/>
    <w:unhideWhenUsed/>
    <w:rsid w:val="005810F1"/>
    <w:rPr>
      <w:sz w:val="16"/>
      <w:szCs w:val="16"/>
    </w:rPr>
  </w:style>
  <w:style w:type="paragraph" w:styleId="Kommentartekst">
    <w:name w:val="annotation text"/>
    <w:basedOn w:val="Normal"/>
    <w:link w:val="KommentartekstTegn"/>
    <w:uiPriority w:val="99"/>
    <w:unhideWhenUsed/>
    <w:rsid w:val="005810F1"/>
    <w:pPr>
      <w:spacing w:line="240" w:lineRule="auto"/>
    </w:pPr>
    <w:rPr>
      <w:sz w:val="20"/>
      <w:szCs w:val="20"/>
    </w:rPr>
  </w:style>
  <w:style w:type="character" w:customStyle="1" w:styleId="KommentartekstTegn">
    <w:name w:val="Kommentartekst Tegn"/>
    <w:basedOn w:val="Standardskrifttypeiafsnit"/>
    <w:link w:val="Kommentartekst"/>
    <w:uiPriority w:val="99"/>
    <w:rsid w:val="005810F1"/>
    <w:rPr>
      <w:sz w:val="20"/>
      <w:szCs w:val="20"/>
    </w:rPr>
  </w:style>
  <w:style w:type="paragraph" w:styleId="Kommentaremne">
    <w:name w:val="annotation subject"/>
    <w:basedOn w:val="Kommentartekst"/>
    <w:next w:val="Kommentartekst"/>
    <w:link w:val="KommentaremneTegn"/>
    <w:uiPriority w:val="99"/>
    <w:semiHidden/>
    <w:unhideWhenUsed/>
    <w:rsid w:val="005810F1"/>
    <w:rPr>
      <w:b/>
      <w:bCs/>
    </w:rPr>
  </w:style>
  <w:style w:type="character" w:customStyle="1" w:styleId="KommentaremneTegn">
    <w:name w:val="Kommentaremne Tegn"/>
    <w:basedOn w:val="KommentartekstTegn"/>
    <w:link w:val="Kommentaremne"/>
    <w:uiPriority w:val="99"/>
    <w:semiHidden/>
    <w:rsid w:val="005810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88419">
      <w:bodyDiv w:val="1"/>
      <w:marLeft w:val="0"/>
      <w:marRight w:val="0"/>
      <w:marTop w:val="0"/>
      <w:marBottom w:val="0"/>
      <w:divBdr>
        <w:top w:val="none" w:sz="0" w:space="0" w:color="auto"/>
        <w:left w:val="none" w:sz="0" w:space="0" w:color="auto"/>
        <w:bottom w:val="none" w:sz="0" w:space="0" w:color="auto"/>
        <w:right w:val="none" w:sz="0" w:space="0" w:color="auto"/>
      </w:divBdr>
    </w:div>
    <w:div w:id="20514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A4099-E99D-4F60-BD25-7667EC8A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1400</Words>
  <Characters>8541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Nicolai Marti-Beckmann</dc:creator>
  <cp:keywords/>
  <dc:description/>
  <cp:lastModifiedBy>Ida Sørensen</cp:lastModifiedBy>
  <cp:revision>2</cp:revision>
  <cp:lastPrinted>2025-06-17T13:22:00Z</cp:lastPrinted>
  <dcterms:created xsi:type="dcterms:W3CDTF">2025-06-17T13:24:00Z</dcterms:created>
  <dcterms:modified xsi:type="dcterms:W3CDTF">2025-06-17T13:24:00Z</dcterms:modified>
</cp:coreProperties>
</file>